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3A7A4CA5" w:rsidR="00F11ACB" w:rsidRPr="00C21BD1" w:rsidRDefault="00B920F4" w:rsidP="00F11ACB">
      <w:pPr>
        <w:pStyle w:val="BodyText2"/>
        <w:spacing w:line="240" w:lineRule="auto"/>
        <w:rPr>
          <w:rFonts w:ascii="Arial" w:hAnsi="Arial" w:cs="Arial"/>
          <w:b/>
          <w:bCs/>
          <w:sz w:val="32"/>
          <w:szCs w:val="32"/>
          <w:lang w:val="pl-PL"/>
        </w:rPr>
      </w:pPr>
      <w:bookmarkStart w:id="0" w:name="_Hlk51939606"/>
      <w:bookmarkStart w:id="1" w:name="_Hlk21420256"/>
      <w:r w:rsidRPr="00C21BD1">
        <w:rPr>
          <w:rFonts w:ascii="Arial" w:hAnsi="Arial" w:cs="Arial"/>
          <w:b/>
          <w:bCs/>
          <w:sz w:val="32"/>
          <w:szCs w:val="32"/>
          <w:lang w:val="pl-PL"/>
        </w:rPr>
        <w:t xml:space="preserve">Ford przedstawia pierwszego </w:t>
      </w:r>
      <w:r w:rsidR="00E015B2" w:rsidRPr="00C21BD1">
        <w:rPr>
          <w:rFonts w:ascii="Arial" w:hAnsi="Arial" w:cs="Arial"/>
          <w:b/>
          <w:bCs/>
          <w:sz w:val="32"/>
          <w:szCs w:val="32"/>
          <w:lang w:val="pl-PL"/>
        </w:rPr>
        <w:t xml:space="preserve">w USA </w:t>
      </w:r>
      <w:r w:rsidR="00AC509B" w:rsidRPr="00C21BD1">
        <w:rPr>
          <w:rFonts w:ascii="Arial" w:hAnsi="Arial" w:cs="Arial"/>
          <w:b/>
          <w:bCs/>
          <w:sz w:val="32"/>
          <w:szCs w:val="32"/>
          <w:lang w:val="pl-PL"/>
        </w:rPr>
        <w:t xml:space="preserve">całkowicie </w:t>
      </w:r>
      <w:r w:rsidRPr="00C21BD1">
        <w:rPr>
          <w:rFonts w:ascii="Arial" w:hAnsi="Arial" w:cs="Arial"/>
          <w:b/>
          <w:bCs/>
          <w:sz w:val="32"/>
          <w:szCs w:val="32"/>
          <w:lang w:val="pl-PL"/>
        </w:rPr>
        <w:t>elektrycznego pick-upa dla policji: F-150 Lightning Pro SSV</w:t>
      </w:r>
    </w:p>
    <w:p w14:paraId="40E39698" w14:textId="77777777" w:rsidR="00F11ACB" w:rsidRPr="00C21BD1" w:rsidRDefault="00F11ACB" w:rsidP="00F11ACB">
      <w:pPr>
        <w:pStyle w:val="BodyText2"/>
        <w:spacing w:line="240" w:lineRule="auto"/>
        <w:rPr>
          <w:rFonts w:ascii="Arial" w:hAnsi="Arial" w:cs="Arial"/>
          <w:b/>
          <w:bCs/>
          <w:sz w:val="32"/>
          <w:szCs w:val="32"/>
          <w:lang w:val="pl-PL"/>
        </w:rPr>
      </w:pPr>
    </w:p>
    <w:p w14:paraId="76152220" w14:textId="27DCE9CA" w:rsidR="00F11ACB" w:rsidRPr="00C21BD1" w:rsidRDefault="00B920F4" w:rsidP="00F11ACB">
      <w:pPr>
        <w:pStyle w:val="ListParagraph"/>
        <w:numPr>
          <w:ilvl w:val="0"/>
          <w:numId w:val="28"/>
        </w:numPr>
        <w:rPr>
          <w:rFonts w:ascii="Arial" w:hAnsi="Arial" w:cs="Arial"/>
          <w:sz w:val="22"/>
          <w:szCs w:val="22"/>
          <w:lang w:val="pl-PL"/>
        </w:rPr>
      </w:pPr>
      <w:r w:rsidRPr="00C21BD1">
        <w:rPr>
          <w:rFonts w:ascii="Arial" w:hAnsi="Arial" w:cs="Arial"/>
          <w:sz w:val="22"/>
          <w:szCs w:val="22"/>
          <w:lang w:val="pl-PL"/>
        </w:rPr>
        <w:t>W pełni elektryczny Ford F-150 Lightning Pro Special Service Vehicle to nowoczesny, zawsze gotowy do pracy pick-up, który p</w:t>
      </w:r>
      <w:r w:rsidR="00AC509B" w:rsidRPr="00C21BD1">
        <w:rPr>
          <w:rFonts w:ascii="Arial" w:hAnsi="Arial" w:cs="Arial"/>
          <w:sz w:val="22"/>
          <w:szCs w:val="22"/>
          <w:lang w:val="pl-PL"/>
        </w:rPr>
        <w:t xml:space="preserve">omoże </w:t>
      </w:r>
      <w:r w:rsidRPr="00C21BD1">
        <w:rPr>
          <w:rFonts w:ascii="Arial" w:hAnsi="Arial" w:cs="Arial"/>
          <w:sz w:val="22"/>
          <w:szCs w:val="22"/>
          <w:lang w:val="pl-PL"/>
        </w:rPr>
        <w:t>policji obniż</w:t>
      </w:r>
      <w:r w:rsidR="00AC509B" w:rsidRPr="00C21BD1">
        <w:rPr>
          <w:rFonts w:ascii="Arial" w:hAnsi="Arial" w:cs="Arial"/>
          <w:sz w:val="22"/>
          <w:szCs w:val="22"/>
          <w:lang w:val="pl-PL"/>
        </w:rPr>
        <w:t>yć</w:t>
      </w:r>
      <w:r w:rsidRPr="00C21BD1">
        <w:rPr>
          <w:rFonts w:ascii="Arial" w:hAnsi="Arial" w:cs="Arial"/>
          <w:sz w:val="22"/>
          <w:szCs w:val="22"/>
          <w:lang w:val="pl-PL"/>
        </w:rPr>
        <w:t xml:space="preserve"> </w:t>
      </w:r>
      <w:r w:rsidR="0022668E" w:rsidRPr="00C21BD1">
        <w:rPr>
          <w:rFonts w:ascii="Arial" w:hAnsi="Arial" w:cs="Arial"/>
          <w:sz w:val="22"/>
          <w:szCs w:val="22"/>
          <w:lang w:val="pl-PL"/>
        </w:rPr>
        <w:t>koszt</w:t>
      </w:r>
      <w:r w:rsidR="00AC509B" w:rsidRPr="00C21BD1">
        <w:rPr>
          <w:rFonts w:ascii="Arial" w:hAnsi="Arial" w:cs="Arial"/>
          <w:sz w:val="22"/>
          <w:szCs w:val="22"/>
          <w:lang w:val="pl-PL"/>
        </w:rPr>
        <w:t>y</w:t>
      </w:r>
      <w:r w:rsidRPr="00C21BD1">
        <w:rPr>
          <w:rFonts w:ascii="Arial" w:hAnsi="Arial" w:cs="Arial"/>
          <w:sz w:val="22"/>
          <w:szCs w:val="22"/>
          <w:lang w:val="pl-PL"/>
        </w:rPr>
        <w:t>, zwiększ</w:t>
      </w:r>
      <w:r w:rsidR="00AC509B" w:rsidRPr="00C21BD1">
        <w:rPr>
          <w:rFonts w:ascii="Arial" w:hAnsi="Arial" w:cs="Arial"/>
          <w:sz w:val="22"/>
          <w:szCs w:val="22"/>
          <w:lang w:val="pl-PL"/>
        </w:rPr>
        <w:t>y</w:t>
      </w:r>
      <w:r w:rsidRPr="00C21BD1">
        <w:rPr>
          <w:rFonts w:ascii="Arial" w:hAnsi="Arial" w:cs="Arial"/>
          <w:sz w:val="22"/>
          <w:szCs w:val="22"/>
          <w:lang w:val="pl-PL"/>
        </w:rPr>
        <w:t xml:space="preserve"> efektywnoś</w:t>
      </w:r>
      <w:r w:rsidR="00AC509B" w:rsidRPr="00C21BD1">
        <w:rPr>
          <w:rFonts w:ascii="Arial" w:hAnsi="Arial" w:cs="Arial"/>
          <w:sz w:val="22"/>
          <w:szCs w:val="22"/>
          <w:lang w:val="pl-PL"/>
        </w:rPr>
        <w:t>ć</w:t>
      </w:r>
      <w:r w:rsidRPr="00C21BD1">
        <w:rPr>
          <w:rFonts w:ascii="Arial" w:hAnsi="Arial" w:cs="Arial"/>
          <w:sz w:val="22"/>
          <w:szCs w:val="22"/>
          <w:lang w:val="pl-PL"/>
        </w:rPr>
        <w:t xml:space="preserve"> i przyspiesz</w:t>
      </w:r>
      <w:r w:rsidR="00AC509B" w:rsidRPr="00C21BD1">
        <w:rPr>
          <w:rFonts w:ascii="Arial" w:hAnsi="Arial" w:cs="Arial"/>
          <w:sz w:val="22"/>
          <w:szCs w:val="22"/>
          <w:lang w:val="pl-PL"/>
        </w:rPr>
        <w:t>y</w:t>
      </w:r>
      <w:r w:rsidRPr="00C21BD1">
        <w:rPr>
          <w:rFonts w:ascii="Arial" w:hAnsi="Arial" w:cs="Arial"/>
          <w:sz w:val="22"/>
          <w:szCs w:val="22"/>
          <w:lang w:val="pl-PL"/>
        </w:rPr>
        <w:t xml:space="preserve"> realizacj</w:t>
      </w:r>
      <w:r w:rsidR="00AC509B" w:rsidRPr="00C21BD1">
        <w:rPr>
          <w:rFonts w:ascii="Arial" w:hAnsi="Arial" w:cs="Arial"/>
          <w:sz w:val="22"/>
          <w:szCs w:val="22"/>
          <w:lang w:val="pl-PL"/>
        </w:rPr>
        <w:t>ę</w:t>
      </w:r>
      <w:r w:rsidRPr="00C21BD1">
        <w:rPr>
          <w:rFonts w:ascii="Arial" w:hAnsi="Arial" w:cs="Arial"/>
          <w:sz w:val="22"/>
          <w:szCs w:val="22"/>
          <w:lang w:val="pl-PL"/>
        </w:rPr>
        <w:t xml:space="preserve"> celów </w:t>
      </w:r>
      <w:r w:rsidR="00A01B10" w:rsidRPr="00C21BD1">
        <w:rPr>
          <w:rFonts w:ascii="Arial" w:hAnsi="Arial" w:cs="Arial"/>
          <w:sz w:val="22"/>
          <w:szCs w:val="22"/>
          <w:lang w:val="pl-PL"/>
        </w:rPr>
        <w:t>z</w:t>
      </w:r>
      <w:r w:rsidRPr="00C21BD1">
        <w:rPr>
          <w:rFonts w:ascii="Arial" w:hAnsi="Arial" w:cs="Arial"/>
          <w:sz w:val="22"/>
          <w:szCs w:val="22"/>
          <w:lang w:val="pl-PL"/>
        </w:rPr>
        <w:t xml:space="preserve"> zakres</w:t>
      </w:r>
      <w:r w:rsidR="00A01B10" w:rsidRPr="00C21BD1">
        <w:rPr>
          <w:rFonts w:ascii="Arial" w:hAnsi="Arial" w:cs="Arial"/>
          <w:sz w:val="22"/>
          <w:szCs w:val="22"/>
          <w:lang w:val="pl-PL"/>
        </w:rPr>
        <w:t>u</w:t>
      </w:r>
      <w:r w:rsidRPr="00C21BD1">
        <w:rPr>
          <w:rFonts w:ascii="Arial" w:hAnsi="Arial" w:cs="Arial"/>
          <w:sz w:val="22"/>
          <w:szCs w:val="22"/>
          <w:lang w:val="pl-PL"/>
        </w:rPr>
        <w:t xml:space="preserve"> zrównoważonego rozwoju. </w:t>
      </w:r>
    </w:p>
    <w:p w14:paraId="23CB2ED2" w14:textId="77777777" w:rsidR="00F11ACB" w:rsidRPr="00C21BD1" w:rsidRDefault="00F11ACB" w:rsidP="00F11ACB">
      <w:pPr>
        <w:ind w:right="720"/>
        <w:rPr>
          <w:rFonts w:ascii="Arial" w:hAnsi="Arial" w:cs="Arial"/>
          <w:sz w:val="22"/>
          <w:szCs w:val="22"/>
          <w:lang w:val="pl-PL"/>
        </w:rPr>
      </w:pPr>
    </w:p>
    <w:p w14:paraId="567A9AF6" w14:textId="63EC6E36" w:rsidR="00F11ACB" w:rsidRPr="00C21BD1" w:rsidRDefault="00B920F4" w:rsidP="00F9678B">
      <w:pPr>
        <w:pStyle w:val="ListParagraph"/>
        <w:numPr>
          <w:ilvl w:val="0"/>
          <w:numId w:val="28"/>
        </w:numPr>
        <w:rPr>
          <w:rFonts w:ascii="Arial" w:hAnsi="Arial" w:cs="Arial"/>
          <w:sz w:val="22"/>
          <w:szCs w:val="22"/>
          <w:lang w:val="pl-PL"/>
        </w:rPr>
      </w:pPr>
      <w:r w:rsidRPr="00C21BD1">
        <w:rPr>
          <w:rFonts w:ascii="Arial" w:hAnsi="Arial" w:cs="Arial"/>
          <w:sz w:val="22"/>
          <w:szCs w:val="22"/>
          <w:lang w:val="pl-PL"/>
        </w:rPr>
        <w:t>F-150 Lig</w:t>
      </w:r>
      <w:r w:rsidR="0022668E" w:rsidRPr="00C21BD1">
        <w:rPr>
          <w:rFonts w:ascii="Arial" w:hAnsi="Arial" w:cs="Arial"/>
          <w:sz w:val="22"/>
          <w:szCs w:val="22"/>
          <w:lang w:val="pl-PL"/>
        </w:rPr>
        <w:t>h</w:t>
      </w:r>
      <w:r w:rsidR="00A060E1" w:rsidRPr="00C21BD1">
        <w:rPr>
          <w:rFonts w:ascii="Arial" w:hAnsi="Arial" w:cs="Arial"/>
          <w:sz w:val="22"/>
          <w:szCs w:val="22"/>
          <w:lang w:val="pl-PL"/>
        </w:rPr>
        <w:t>t</w:t>
      </w:r>
      <w:r w:rsidRPr="00C21BD1">
        <w:rPr>
          <w:rFonts w:ascii="Arial" w:hAnsi="Arial" w:cs="Arial"/>
          <w:sz w:val="22"/>
          <w:szCs w:val="22"/>
          <w:lang w:val="pl-PL"/>
        </w:rPr>
        <w:t>ning Pro S</w:t>
      </w:r>
      <w:r w:rsidR="00AC509B" w:rsidRPr="00C21BD1">
        <w:rPr>
          <w:rFonts w:ascii="Arial" w:hAnsi="Arial" w:cs="Arial"/>
          <w:sz w:val="22"/>
          <w:szCs w:val="22"/>
          <w:lang w:val="pl-PL"/>
        </w:rPr>
        <w:t>S</w:t>
      </w:r>
      <w:r w:rsidRPr="00C21BD1">
        <w:rPr>
          <w:rFonts w:ascii="Arial" w:hAnsi="Arial" w:cs="Arial"/>
          <w:sz w:val="22"/>
          <w:szCs w:val="22"/>
          <w:lang w:val="pl-PL"/>
        </w:rPr>
        <w:t xml:space="preserve">V łączy zalety elektrycznego układu napędowego </w:t>
      </w:r>
      <w:r w:rsidR="00233365" w:rsidRPr="00C21BD1">
        <w:rPr>
          <w:rFonts w:ascii="Arial" w:hAnsi="Arial" w:cs="Arial"/>
          <w:sz w:val="22"/>
          <w:szCs w:val="22"/>
          <w:lang w:val="pl-PL"/>
        </w:rPr>
        <w:t>z charakterystycznymi dla organów ścigania funkcjami F-150 Police Responder, które obejmują policyjne siedzenia z wytrzymałej tkaniny, wbudowane stalowe płyty</w:t>
      </w:r>
      <w:r w:rsidR="00F9678B" w:rsidRPr="00C21BD1">
        <w:rPr>
          <w:rFonts w:ascii="Arial" w:hAnsi="Arial" w:cs="Arial"/>
          <w:sz w:val="22"/>
          <w:szCs w:val="22"/>
          <w:lang w:val="pl-PL"/>
        </w:rPr>
        <w:t xml:space="preserve"> </w:t>
      </w:r>
      <w:r w:rsidR="00501EAF" w:rsidRPr="00C21BD1">
        <w:rPr>
          <w:rFonts w:ascii="Arial" w:hAnsi="Arial" w:cs="Arial"/>
          <w:sz w:val="22"/>
          <w:szCs w:val="22"/>
          <w:lang w:val="pl-PL"/>
        </w:rPr>
        <w:t>wzmacniające i zabezpieczające oparcia przednich foteli</w:t>
      </w:r>
      <w:r w:rsidR="00A01B10" w:rsidRPr="00C21BD1">
        <w:rPr>
          <w:rFonts w:ascii="Arial" w:hAnsi="Arial" w:cs="Arial"/>
          <w:sz w:val="22"/>
          <w:szCs w:val="22"/>
          <w:lang w:val="pl-PL"/>
        </w:rPr>
        <w:t xml:space="preserve">, </w:t>
      </w:r>
      <w:r w:rsidR="00F9678B" w:rsidRPr="00C21BD1">
        <w:rPr>
          <w:rFonts w:ascii="Arial" w:hAnsi="Arial" w:cs="Arial"/>
          <w:sz w:val="22"/>
          <w:szCs w:val="22"/>
          <w:lang w:val="pl-PL"/>
        </w:rPr>
        <w:t xml:space="preserve">czy światła ostrzegawcze montowane na dachu. </w:t>
      </w:r>
    </w:p>
    <w:p w14:paraId="30E0BE49" w14:textId="77777777" w:rsidR="00F11ACB" w:rsidRPr="00C21BD1" w:rsidRDefault="00F11ACB" w:rsidP="00F11ACB">
      <w:pPr>
        <w:ind w:right="720"/>
        <w:rPr>
          <w:rFonts w:ascii="Arial" w:hAnsi="Arial" w:cs="Arial"/>
          <w:sz w:val="22"/>
          <w:szCs w:val="22"/>
          <w:lang w:val="pl-PL"/>
        </w:rPr>
      </w:pPr>
      <w:bookmarkStart w:id="2" w:name="_Hlk107478998"/>
      <w:bookmarkEnd w:id="2"/>
    </w:p>
    <w:p w14:paraId="65F04D38" w14:textId="33935958" w:rsidR="00E015B2" w:rsidRPr="00C21BD1" w:rsidRDefault="00F11ACB" w:rsidP="00F11ACB">
      <w:pPr>
        <w:rPr>
          <w:rFonts w:ascii="Arial" w:hAnsi="Arial" w:cs="Arial"/>
          <w:sz w:val="22"/>
          <w:szCs w:val="22"/>
          <w:lang w:val="pl-PL"/>
        </w:rPr>
      </w:pPr>
      <w:r w:rsidRPr="00C21BD1">
        <w:rPr>
          <w:rFonts w:ascii="Arial" w:hAnsi="Arial" w:cs="Arial"/>
          <w:b/>
          <w:sz w:val="22"/>
          <w:szCs w:val="22"/>
          <w:lang w:val="pl-PL"/>
        </w:rPr>
        <w:t xml:space="preserve">WARSZAWA, </w:t>
      </w:r>
      <w:r w:rsidR="00122824">
        <w:rPr>
          <w:rFonts w:ascii="Arial" w:hAnsi="Arial" w:cs="Arial"/>
          <w:b/>
          <w:sz w:val="22"/>
          <w:szCs w:val="22"/>
          <w:lang w:val="pl-PL"/>
        </w:rPr>
        <w:t>5</w:t>
      </w:r>
      <w:r w:rsidR="00DB46E8" w:rsidRPr="00C21BD1">
        <w:rPr>
          <w:rFonts w:ascii="Arial" w:hAnsi="Arial" w:cs="Arial"/>
          <w:b/>
          <w:sz w:val="22"/>
          <w:szCs w:val="22"/>
          <w:lang w:val="pl-PL"/>
        </w:rPr>
        <w:t xml:space="preserve"> sierpnia</w:t>
      </w:r>
      <w:r w:rsidRPr="00C21BD1">
        <w:rPr>
          <w:rFonts w:ascii="Arial" w:hAnsi="Arial" w:cs="Arial"/>
          <w:b/>
          <w:sz w:val="22"/>
          <w:szCs w:val="22"/>
          <w:lang w:val="pl-PL"/>
        </w:rPr>
        <w:t xml:space="preserve"> 2022 </w:t>
      </w:r>
      <w:r w:rsidRPr="00C21BD1">
        <w:rPr>
          <w:rFonts w:ascii="Arial" w:hAnsi="Arial" w:cs="Arial"/>
          <w:sz w:val="22"/>
          <w:szCs w:val="22"/>
          <w:lang w:val="pl-PL"/>
        </w:rPr>
        <w:t xml:space="preserve">– </w:t>
      </w:r>
      <w:r w:rsidR="00A5419C" w:rsidRPr="00C21BD1">
        <w:rPr>
          <w:rFonts w:ascii="Arial" w:hAnsi="Arial" w:cs="Arial"/>
          <w:sz w:val="22"/>
          <w:szCs w:val="22"/>
          <w:lang w:val="pl-PL"/>
        </w:rPr>
        <w:t>Ford</w:t>
      </w:r>
      <w:r w:rsidR="00E015B2" w:rsidRPr="00C21BD1">
        <w:rPr>
          <w:rFonts w:ascii="Arial" w:hAnsi="Arial" w:cs="Arial"/>
          <w:sz w:val="22"/>
          <w:szCs w:val="22"/>
          <w:lang w:val="pl-PL"/>
        </w:rPr>
        <w:t xml:space="preserve"> Pro kontynuuje</w:t>
      </w:r>
      <w:r w:rsidR="00A01B10" w:rsidRPr="00C21BD1">
        <w:rPr>
          <w:rFonts w:ascii="Arial" w:hAnsi="Arial" w:cs="Arial"/>
          <w:sz w:val="22"/>
          <w:szCs w:val="22"/>
          <w:lang w:val="pl-PL"/>
        </w:rPr>
        <w:t xml:space="preserve"> wsparcie lokalnych społeczności oraz klientów rządowych</w:t>
      </w:r>
      <w:r w:rsidR="00E015B2" w:rsidRPr="00C21BD1">
        <w:rPr>
          <w:rFonts w:ascii="Arial" w:hAnsi="Arial" w:cs="Arial"/>
          <w:sz w:val="22"/>
          <w:szCs w:val="22"/>
          <w:lang w:val="pl-PL"/>
        </w:rPr>
        <w:t xml:space="preserve"> w kierunku zelektryfikowanego, opartego na technologii świata</w:t>
      </w:r>
      <w:r w:rsidR="00A01B10" w:rsidRPr="00C21BD1">
        <w:rPr>
          <w:rFonts w:ascii="Arial" w:hAnsi="Arial" w:cs="Arial"/>
          <w:sz w:val="22"/>
          <w:szCs w:val="22"/>
          <w:lang w:val="pl-PL"/>
        </w:rPr>
        <w:t>,</w:t>
      </w:r>
      <w:r w:rsidR="00E015B2" w:rsidRPr="00C21BD1">
        <w:rPr>
          <w:rFonts w:ascii="Arial" w:hAnsi="Arial" w:cs="Arial"/>
          <w:sz w:val="22"/>
          <w:szCs w:val="22"/>
          <w:lang w:val="pl-PL"/>
        </w:rPr>
        <w:t xml:space="preserve"> wprowadzając na rynek pierwszego w USA w pełni elektrycznego pick-upa przeznaczonego specjalnie dla </w:t>
      </w:r>
      <w:r w:rsidR="0022668E" w:rsidRPr="00C21BD1">
        <w:rPr>
          <w:rFonts w:ascii="Arial" w:hAnsi="Arial" w:cs="Arial"/>
          <w:sz w:val="22"/>
          <w:szCs w:val="22"/>
          <w:lang w:val="pl-PL"/>
        </w:rPr>
        <w:t>policji</w:t>
      </w:r>
      <w:r w:rsidR="009957F9">
        <w:rPr>
          <w:rFonts w:ascii="Arial" w:hAnsi="Arial" w:cs="Arial"/>
          <w:sz w:val="22"/>
          <w:szCs w:val="22"/>
          <w:lang w:val="pl-PL"/>
        </w:rPr>
        <w:t xml:space="preserve"> -</w:t>
      </w:r>
      <w:r w:rsidR="00E015B2" w:rsidRPr="00C21BD1">
        <w:rPr>
          <w:rFonts w:ascii="Arial" w:hAnsi="Arial" w:cs="Arial"/>
          <w:sz w:val="22"/>
          <w:szCs w:val="22"/>
          <w:lang w:val="pl-PL"/>
        </w:rPr>
        <w:t xml:space="preserve"> Ford F-150 </w:t>
      </w:r>
      <w:proofErr w:type="spellStart"/>
      <w:r w:rsidR="00E015B2" w:rsidRPr="00C21BD1">
        <w:rPr>
          <w:rFonts w:ascii="Arial" w:hAnsi="Arial" w:cs="Arial"/>
          <w:sz w:val="22"/>
          <w:szCs w:val="22"/>
          <w:lang w:val="pl-PL"/>
        </w:rPr>
        <w:t>Lightning</w:t>
      </w:r>
      <w:proofErr w:type="spellEnd"/>
      <w:r w:rsidR="00E015B2" w:rsidRPr="00C21BD1">
        <w:rPr>
          <w:rFonts w:ascii="Arial" w:hAnsi="Arial" w:cs="Arial"/>
          <w:sz w:val="22"/>
          <w:szCs w:val="22"/>
          <w:lang w:val="pl-PL"/>
        </w:rPr>
        <w:t xml:space="preserve"> Pro Special Service Vehicle. </w:t>
      </w:r>
    </w:p>
    <w:p w14:paraId="005DD060" w14:textId="77777777" w:rsidR="00E015B2" w:rsidRPr="00C21BD1" w:rsidRDefault="00E015B2" w:rsidP="00F11ACB">
      <w:pPr>
        <w:rPr>
          <w:rFonts w:ascii="Arial" w:hAnsi="Arial" w:cs="Arial"/>
          <w:sz w:val="22"/>
          <w:szCs w:val="22"/>
          <w:lang w:val="pl-PL"/>
        </w:rPr>
      </w:pPr>
    </w:p>
    <w:p w14:paraId="03504BFE" w14:textId="32C9FC09" w:rsidR="00E015B2" w:rsidRPr="00C21BD1" w:rsidRDefault="00B71810" w:rsidP="00F11ACB">
      <w:pPr>
        <w:rPr>
          <w:rFonts w:ascii="Arial" w:hAnsi="Arial" w:cs="Arial"/>
          <w:sz w:val="22"/>
          <w:szCs w:val="22"/>
          <w:lang w:val="pl-PL"/>
        </w:rPr>
      </w:pPr>
      <w:r w:rsidRPr="00C21BD1">
        <w:rPr>
          <w:rFonts w:ascii="Arial" w:hAnsi="Arial" w:cs="Arial"/>
          <w:sz w:val="22"/>
          <w:szCs w:val="22"/>
          <w:lang w:val="pl-PL"/>
        </w:rPr>
        <w:t xml:space="preserve">Ford od ponad 70 lat dostarcza policji pojazdy, których </w:t>
      </w:r>
      <w:r w:rsidR="008B594A" w:rsidRPr="00C21BD1">
        <w:rPr>
          <w:rFonts w:ascii="Arial" w:hAnsi="Arial" w:cs="Arial"/>
          <w:sz w:val="22"/>
          <w:szCs w:val="22"/>
          <w:lang w:val="pl-PL"/>
        </w:rPr>
        <w:t xml:space="preserve">funkcjonariusze </w:t>
      </w:r>
      <w:r w:rsidRPr="00C21BD1">
        <w:rPr>
          <w:rFonts w:ascii="Arial" w:hAnsi="Arial" w:cs="Arial"/>
          <w:sz w:val="22"/>
          <w:szCs w:val="22"/>
          <w:lang w:val="pl-PL"/>
        </w:rPr>
        <w:t>potrzebuj</w:t>
      </w:r>
      <w:r w:rsidR="008B594A" w:rsidRPr="00C21BD1">
        <w:rPr>
          <w:rFonts w:ascii="Arial" w:hAnsi="Arial" w:cs="Arial"/>
          <w:sz w:val="22"/>
          <w:szCs w:val="22"/>
          <w:lang w:val="pl-PL"/>
        </w:rPr>
        <w:t>ą</w:t>
      </w:r>
      <w:r w:rsidRPr="00C21BD1">
        <w:rPr>
          <w:rFonts w:ascii="Arial" w:hAnsi="Arial" w:cs="Arial"/>
          <w:sz w:val="22"/>
          <w:szCs w:val="22"/>
          <w:lang w:val="pl-PL"/>
        </w:rPr>
        <w:t xml:space="preserve"> do ochrony i służby społeczeństwu. Obecnie ponad 12 tysięcy </w:t>
      </w:r>
      <w:r w:rsidR="009957F9">
        <w:rPr>
          <w:rFonts w:ascii="Arial" w:hAnsi="Arial" w:cs="Arial"/>
          <w:sz w:val="22"/>
          <w:szCs w:val="22"/>
          <w:lang w:val="pl-PL"/>
        </w:rPr>
        <w:t>oddziałów</w:t>
      </w:r>
      <w:r w:rsidRPr="00C21BD1">
        <w:rPr>
          <w:rFonts w:ascii="Arial" w:hAnsi="Arial" w:cs="Arial"/>
          <w:sz w:val="22"/>
          <w:szCs w:val="22"/>
          <w:lang w:val="pl-PL"/>
        </w:rPr>
        <w:t xml:space="preserve"> policji w całym kraju korzysta z samochodów Forda, a ich popularność jest ogromna. Dość powiedzieć, że w służbie znajduje się więcej pojazdów Forda niż wszystkich innych </w:t>
      </w:r>
      <w:r w:rsidR="008B594A" w:rsidRPr="00C21BD1">
        <w:rPr>
          <w:rFonts w:ascii="Arial" w:hAnsi="Arial" w:cs="Arial"/>
          <w:sz w:val="22"/>
          <w:szCs w:val="22"/>
          <w:lang w:val="pl-PL"/>
        </w:rPr>
        <w:t>konkurencyjnych aut</w:t>
      </w:r>
      <w:r w:rsidRPr="00C21BD1">
        <w:rPr>
          <w:rFonts w:ascii="Arial" w:hAnsi="Arial" w:cs="Arial"/>
          <w:sz w:val="22"/>
          <w:szCs w:val="22"/>
          <w:lang w:val="pl-PL"/>
        </w:rPr>
        <w:t xml:space="preserve"> razem wziętych</w:t>
      </w:r>
      <w:r w:rsidR="00611C4C" w:rsidRPr="00C21BD1">
        <w:rPr>
          <w:rFonts w:ascii="Arial" w:hAnsi="Arial" w:cs="Arial"/>
          <w:sz w:val="22"/>
          <w:szCs w:val="22"/>
          <w:vertAlign w:val="superscript"/>
          <w:lang w:val="pl-PL"/>
        </w:rPr>
        <w:t>1</w:t>
      </w:r>
      <w:r w:rsidRPr="00C21BD1">
        <w:rPr>
          <w:rFonts w:ascii="Arial" w:hAnsi="Arial" w:cs="Arial"/>
          <w:sz w:val="22"/>
          <w:szCs w:val="22"/>
          <w:lang w:val="pl-PL"/>
        </w:rPr>
        <w:t xml:space="preserve">. Marka przypisuje ten sukces i lojalność ścisłej współpracy producenta samochodów z klientami – w tym przypadku w szczególności </w:t>
      </w:r>
      <w:r w:rsidR="008B594A" w:rsidRPr="00C21BD1">
        <w:rPr>
          <w:rFonts w:ascii="Arial" w:hAnsi="Arial" w:cs="Arial"/>
          <w:sz w:val="22"/>
          <w:szCs w:val="22"/>
          <w:lang w:val="pl-PL"/>
        </w:rPr>
        <w:t>poprzez dział</w:t>
      </w:r>
      <w:r w:rsidRPr="00C21BD1">
        <w:rPr>
          <w:rFonts w:ascii="Arial" w:hAnsi="Arial" w:cs="Arial"/>
          <w:sz w:val="22"/>
          <w:szCs w:val="22"/>
          <w:lang w:val="pl-PL"/>
        </w:rPr>
        <w:t xml:space="preserve"> Ford Police Advisory Board. </w:t>
      </w:r>
    </w:p>
    <w:p w14:paraId="65C8D477" w14:textId="6E5B9C1D" w:rsidR="00B71810" w:rsidRPr="00C21BD1" w:rsidRDefault="00B71810" w:rsidP="00F11ACB">
      <w:pPr>
        <w:rPr>
          <w:rFonts w:ascii="Arial" w:hAnsi="Arial" w:cs="Arial"/>
          <w:sz w:val="22"/>
          <w:szCs w:val="22"/>
          <w:lang w:val="pl-PL"/>
        </w:rPr>
      </w:pPr>
    </w:p>
    <w:p w14:paraId="4B80F29B" w14:textId="4F09DD52" w:rsidR="00C179FC" w:rsidRPr="00C21BD1" w:rsidRDefault="008B594A" w:rsidP="00F11ACB">
      <w:pPr>
        <w:rPr>
          <w:rFonts w:ascii="Arial" w:hAnsi="Arial" w:cs="Arial"/>
          <w:sz w:val="22"/>
          <w:szCs w:val="22"/>
          <w:lang w:val="pl-PL"/>
        </w:rPr>
      </w:pPr>
      <w:r w:rsidRPr="00C21BD1">
        <w:rPr>
          <w:rFonts w:ascii="Arial" w:hAnsi="Arial" w:cs="Arial"/>
          <w:sz w:val="22"/>
          <w:szCs w:val="22"/>
          <w:lang w:val="pl-PL"/>
        </w:rPr>
        <w:t xml:space="preserve">- </w:t>
      </w:r>
      <w:r w:rsidR="00C179FC" w:rsidRPr="00C21BD1">
        <w:rPr>
          <w:rFonts w:ascii="Arial" w:hAnsi="Arial" w:cs="Arial"/>
          <w:sz w:val="22"/>
          <w:szCs w:val="22"/>
          <w:lang w:val="pl-PL"/>
        </w:rPr>
        <w:t>Jesteśmy dumni, że możemy przedstawić pierwsz</w:t>
      </w:r>
      <w:r w:rsidR="009957F9">
        <w:rPr>
          <w:rFonts w:ascii="Arial" w:hAnsi="Arial" w:cs="Arial"/>
          <w:sz w:val="22"/>
          <w:szCs w:val="22"/>
          <w:lang w:val="pl-PL"/>
        </w:rPr>
        <w:t>ego</w:t>
      </w:r>
      <w:r w:rsidR="00C179FC" w:rsidRPr="00C21BD1">
        <w:rPr>
          <w:rFonts w:ascii="Arial" w:hAnsi="Arial" w:cs="Arial"/>
          <w:sz w:val="22"/>
          <w:szCs w:val="22"/>
          <w:lang w:val="pl-PL"/>
        </w:rPr>
        <w:t xml:space="preserve"> w USA elektryczn</w:t>
      </w:r>
      <w:r w:rsidR="009957F9">
        <w:rPr>
          <w:rFonts w:ascii="Arial" w:hAnsi="Arial" w:cs="Arial"/>
          <w:sz w:val="22"/>
          <w:szCs w:val="22"/>
          <w:lang w:val="pl-PL"/>
        </w:rPr>
        <w:t>ego</w:t>
      </w:r>
      <w:r w:rsidR="00C179FC" w:rsidRPr="00C21BD1">
        <w:rPr>
          <w:rFonts w:ascii="Arial" w:hAnsi="Arial" w:cs="Arial"/>
          <w:sz w:val="22"/>
          <w:szCs w:val="22"/>
          <w:lang w:val="pl-PL"/>
        </w:rPr>
        <w:t xml:space="preserve"> pick-up</w:t>
      </w:r>
      <w:r w:rsidR="009957F9">
        <w:rPr>
          <w:rFonts w:ascii="Arial" w:hAnsi="Arial" w:cs="Arial"/>
          <w:sz w:val="22"/>
          <w:szCs w:val="22"/>
          <w:lang w:val="pl-PL"/>
        </w:rPr>
        <w:t>a</w:t>
      </w:r>
      <w:r w:rsidR="00C179FC" w:rsidRPr="00C21BD1">
        <w:rPr>
          <w:rFonts w:ascii="Arial" w:hAnsi="Arial" w:cs="Arial"/>
          <w:sz w:val="22"/>
          <w:szCs w:val="22"/>
          <w:lang w:val="pl-PL"/>
        </w:rPr>
        <w:t xml:space="preserve"> przeznaczon</w:t>
      </w:r>
      <w:r w:rsidR="009957F9">
        <w:rPr>
          <w:rFonts w:ascii="Arial" w:hAnsi="Arial" w:cs="Arial"/>
          <w:sz w:val="22"/>
          <w:szCs w:val="22"/>
          <w:lang w:val="pl-PL"/>
        </w:rPr>
        <w:t>ego</w:t>
      </w:r>
      <w:r w:rsidR="00C179FC" w:rsidRPr="00C21BD1">
        <w:rPr>
          <w:rFonts w:ascii="Arial" w:hAnsi="Arial" w:cs="Arial"/>
          <w:sz w:val="22"/>
          <w:szCs w:val="22"/>
          <w:lang w:val="pl-PL"/>
        </w:rPr>
        <w:t xml:space="preserve"> d</w:t>
      </w:r>
      <w:r w:rsidR="009957F9">
        <w:rPr>
          <w:rFonts w:ascii="Arial" w:hAnsi="Arial" w:cs="Arial"/>
          <w:sz w:val="22"/>
          <w:szCs w:val="22"/>
          <w:lang w:val="pl-PL"/>
        </w:rPr>
        <w:t>o</w:t>
      </w:r>
      <w:r w:rsidR="00C179FC" w:rsidRPr="00C21BD1">
        <w:rPr>
          <w:rFonts w:ascii="Arial" w:hAnsi="Arial" w:cs="Arial"/>
          <w:sz w:val="22"/>
          <w:szCs w:val="22"/>
          <w:lang w:val="pl-PL"/>
        </w:rPr>
        <w:t xml:space="preserve"> policyjnych potrzeb, dzięki któremu służby mogą wykorzystać przełomową technologię, aby poprawić swoją efektywność – powiedział Nate Oscarson, kierownik sprzedaży Ford Pro ds. służb </w:t>
      </w:r>
      <w:r w:rsidR="003D5A75" w:rsidRPr="00C21BD1">
        <w:rPr>
          <w:rFonts w:ascii="Arial" w:hAnsi="Arial" w:cs="Arial"/>
          <w:sz w:val="22"/>
          <w:szCs w:val="22"/>
          <w:lang w:val="pl-PL"/>
        </w:rPr>
        <w:t>rządowych</w:t>
      </w:r>
      <w:r w:rsidR="00C179FC" w:rsidRPr="00C21BD1">
        <w:rPr>
          <w:rFonts w:ascii="Arial" w:hAnsi="Arial" w:cs="Arial"/>
          <w:sz w:val="22"/>
          <w:szCs w:val="22"/>
          <w:lang w:val="pl-PL"/>
        </w:rPr>
        <w:t xml:space="preserve">. </w:t>
      </w:r>
      <w:r w:rsidRPr="00C21BD1">
        <w:rPr>
          <w:rFonts w:ascii="Arial" w:hAnsi="Arial" w:cs="Arial"/>
          <w:sz w:val="22"/>
          <w:szCs w:val="22"/>
          <w:lang w:val="pl-PL"/>
        </w:rPr>
        <w:t xml:space="preserve">- </w:t>
      </w:r>
      <w:r w:rsidR="00C179FC" w:rsidRPr="00C21BD1">
        <w:rPr>
          <w:rFonts w:ascii="Arial" w:hAnsi="Arial" w:cs="Arial"/>
          <w:sz w:val="22"/>
          <w:szCs w:val="22"/>
          <w:lang w:val="pl-PL"/>
        </w:rPr>
        <w:t>Pro Power Onboard może służyć jako mobilne źródło zasilania</w:t>
      </w:r>
      <w:r w:rsidR="00C179FC" w:rsidRPr="00C21BD1">
        <w:rPr>
          <w:rFonts w:ascii="Arial" w:hAnsi="Arial" w:cs="Arial"/>
          <w:sz w:val="22"/>
          <w:szCs w:val="22"/>
          <w:vertAlign w:val="superscript"/>
          <w:lang w:val="pl-PL"/>
        </w:rPr>
        <w:t>2</w:t>
      </w:r>
      <w:r w:rsidR="00C179FC" w:rsidRPr="00C21BD1">
        <w:rPr>
          <w:rFonts w:ascii="Arial" w:hAnsi="Arial" w:cs="Arial"/>
          <w:sz w:val="22"/>
          <w:szCs w:val="22"/>
          <w:lang w:val="pl-PL"/>
        </w:rPr>
        <w:t xml:space="preserve">, </w:t>
      </w:r>
      <w:r w:rsidR="009957F9">
        <w:rPr>
          <w:rFonts w:ascii="Arial" w:hAnsi="Arial" w:cs="Arial"/>
          <w:sz w:val="22"/>
          <w:szCs w:val="22"/>
          <w:lang w:val="pl-PL"/>
        </w:rPr>
        <w:t xml:space="preserve">np. </w:t>
      </w:r>
      <w:r w:rsidR="00C179FC" w:rsidRPr="00C21BD1">
        <w:rPr>
          <w:rFonts w:ascii="Arial" w:hAnsi="Arial" w:cs="Arial"/>
          <w:sz w:val="22"/>
          <w:szCs w:val="22"/>
          <w:lang w:val="pl-PL"/>
        </w:rPr>
        <w:t xml:space="preserve">aby oświetlić </w:t>
      </w:r>
      <w:r w:rsidR="00337AF1" w:rsidRPr="00C21BD1">
        <w:rPr>
          <w:rFonts w:ascii="Arial" w:hAnsi="Arial" w:cs="Arial"/>
          <w:sz w:val="22"/>
          <w:szCs w:val="22"/>
          <w:lang w:val="pl-PL"/>
        </w:rPr>
        <w:t xml:space="preserve">po zmroku </w:t>
      </w:r>
      <w:r w:rsidR="00C179FC" w:rsidRPr="00C21BD1">
        <w:rPr>
          <w:rFonts w:ascii="Arial" w:hAnsi="Arial" w:cs="Arial"/>
          <w:sz w:val="22"/>
          <w:szCs w:val="22"/>
          <w:lang w:val="pl-PL"/>
        </w:rPr>
        <w:t xml:space="preserve">miejsca wypadków na autostradzie, elektryczny układ napędowy potencjalnie pomaga obniżyć koszty </w:t>
      </w:r>
      <w:r w:rsidR="00611C4C" w:rsidRPr="00C21BD1">
        <w:rPr>
          <w:rFonts w:ascii="Arial" w:hAnsi="Arial" w:cs="Arial"/>
          <w:sz w:val="22"/>
          <w:szCs w:val="22"/>
          <w:lang w:val="pl-PL"/>
        </w:rPr>
        <w:t xml:space="preserve">eksploatacyjne oraz te </w:t>
      </w:r>
      <w:r w:rsidR="00C179FC" w:rsidRPr="00C21BD1">
        <w:rPr>
          <w:rFonts w:ascii="Arial" w:hAnsi="Arial" w:cs="Arial"/>
          <w:sz w:val="22"/>
          <w:szCs w:val="22"/>
          <w:lang w:val="pl-PL"/>
        </w:rPr>
        <w:t xml:space="preserve">związane z </w:t>
      </w:r>
      <w:r w:rsidR="00611C4C" w:rsidRPr="00C21BD1">
        <w:rPr>
          <w:rFonts w:ascii="Arial" w:hAnsi="Arial" w:cs="Arial"/>
          <w:sz w:val="22"/>
          <w:szCs w:val="22"/>
          <w:lang w:val="pl-PL"/>
        </w:rPr>
        <w:t xml:space="preserve">zakupem </w:t>
      </w:r>
      <w:r w:rsidR="00C179FC" w:rsidRPr="00C21BD1">
        <w:rPr>
          <w:rFonts w:ascii="Arial" w:hAnsi="Arial" w:cs="Arial"/>
          <w:sz w:val="22"/>
          <w:szCs w:val="22"/>
          <w:lang w:val="pl-PL"/>
        </w:rPr>
        <w:t>paliw</w:t>
      </w:r>
      <w:r w:rsidR="00611C4C" w:rsidRPr="00C21BD1">
        <w:rPr>
          <w:rFonts w:ascii="Arial" w:hAnsi="Arial" w:cs="Arial"/>
          <w:sz w:val="22"/>
          <w:szCs w:val="22"/>
          <w:lang w:val="pl-PL"/>
        </w:rPr>
        <w:t>a</w:t>
      </w:r>
      <w:r w:rsidR="00C26CEE" w:rsidRPr="00C21BD1">
        <w:rPr>
          <w:rFonts w:ascii="Arial" w:hAnsi="Arial" w:cs="Arial"/>
          <w:sz w:val="22"/>
          <w:szCs w:val="22"/>
          <w:vertAlign w:val="superscript"/>
          <w:lang w:val="pl-PL"/>
        </w:rPr>
        <w:t>3</w:t>
      </w:r>
      <w:r w:rsidR="00C179FC" w:rsidRPr="00C21BD1">
        <w:rPr>
          <w:rFonts w:ascii="Arial" w:hAnsi="Arial" w:cs="Arial"/>
          <w:sz w:val="22"/>
          <w:szCs w:val="22"/>
          <w:lang w:val="pl-PL"/>
        </w:rPr>
        <w:t>, a Mega Power Frunk zapewnia dodatkowe zamykane schowki wręcz stworzone dla policyjnych celów</w:t>
      </w:r>
      <w:r w:rsidR="000C7B6D" w:rsidRPr="00C21BD1">
        <w:rPr>
          <w:rFonts w:ascii="Arial" w:hAnsi="Arial" w:cs="Arial"/>
          <w:sz w:val="22"/>
          <w:szCs w:val="22"/>
          <w:lang w:val="pl-PL"/>
        </w:rPr>
        <w:t xml:space="preserve">. Takich funkcjonalności oczekuje się zresztą od lidera w dziedzinie policyjnych pojazdów – dodał. </w:t>
      </w:r>
    </w:p>
    <w:p w14:paraId="5A169499" w14:textId="77777777" w:rsidR="00C179FC" w:rsidRPr="00C21BD1" w:rsidRDefault="00C179FC" w:rsidP="00F11ACB">
      <w:pPr>
        <w:rPr>
          <w:rFonts w:ascii="Arial" w:hAnsi="Arial" w:cs="Arial"/>
          <w:sz w:val="22"/>
          <w:szCs w:val="22"/>
          <w:lang w:val="pl-PL"/>
        </w:rPr>
      </w:pPr>
    </w:p>
    <w:p w14:paraId="40CEB736" w14:textId="5F48C3F9" w:rsidR="007536C1" w:rsidRPr="00C21BD1" w:rsidRDefault="007536C1" w:rsidP="006D083B">
      <w:pPr>
        <w:rPr>
          <w:rFonts w:ascii="Arial" w:hAnsi="Arial" w:cs="Arial"/>
          <w:b/>
          <w:bCs/>
          <w:sz w:val="22"/>
          <w:szCs w:val="22"/>
          <w:lang w:val="pl-PL"/>
        </w:rPr>
      </w:pPr>
      <w:r w:rsidRPr="00C21BD1">
        <w:rPr>
          <w:rFonts w:ascii="Arial" w:hAnsi="Arial" w:cs="Arial"/>
          <w:b/>
          <w:bCs/>
          <w:sz w:val="22"/>
          <w:szCs w:val="22"/>
          <w:lang w:val="pl-PL"/>
        </w:rPr>
        <w:t>Inteligentny elektryczny pick-up stworzony specjalnie dla policji</w:t>
      </w:r>
    </w:p>
    <w:p w14:paraId="241397DF" w14:textId="3EF36D39" w:rsidR="007536C1" w:rsidRPr="00C21BD1" w:rsidRDefault="008A5DA9" w:rsidP="00AB1E67">
      <w:pPr>
        <w:snapToGrid w:val="0"/>
        <w:spacing w:line="259" w:lineRule="auto"/>
        <w:rPr>
          <w:rFonts w:ascii="Arial" w:hAnsi="Arial" w:cs="Arial"/>
          <w:sz w:val="22"/>
          <w:szCs w:val="22"/>
          <w:lang w:val="pl-PL"/>
        </w:rPr>
      </w:pPr>
      <w:r w:rsidRPr="00C21BD1">
        <w:rPr>
          <w:rFonts w:ascii="Arial" w:hAnsi="Arial" w:cs="Arial"/>
          <w:sz w:val="22"/>
          <w:szCs w:val="22"/>
          <w:lang w:val="pl-PL"/>
        </w:rPr>
        <w:t xml:space="preserve">Ford F-150 Lightning Pro SSV łączy w sobie doskonale znane </w:t>
      </w:r>
      <w:r w:rsidR="00611C4C" w:rsidRPr="00C21BD1">
        <w:rPr>
          <w:rFonts w:ascii="Arial" w:hAnsi="Arial" w:cs="Arial"/>
          <w:sz w:val="22"/>
          <w:szCs w:val="22"/>
          <w:lang w:val="pl-PL"/>
        </w:rPr>
        <w:t xml:space="preserve">- </w:t>
      </w:r>
      <w:r w:rsidRPr="00C21BD1">
        <w:rPr>
          <w:rFonts w:ascii="Arial" w:hAnsi="Arial" w:cs="Arial"/>
          <w:sz w:val="22"/>
          <w:szCs w:val="22"/>
          <w:lang w:val="pl-PL"/>
        </w:rPr>
        <w:t>moc i osiągi</w:t>
      </w:r>
      <w:r w:rsidR="00611C4C" w:rsidRPr="00C21BD1">
        <w:rPr>
          <w:rFonts w:ascii="Arial" w:hAnsi="Arial" w:cs="Arial"/>
          <w:sz w:val="22"/>
          <w:szCs w:val="22"/>
          <w:lang w:val="pl-PL"/>
        </w:rPr>
        <w:t xml:space="preserve"> -</w:t>
      </w:r>
      <w:r w:rsidRPr="00C21BD1">
        <w:rPr>
          <w:rFonts w:ascii="Arial" w:hAnsi="Arial" w:cs="Arial"/>
          <w:sz w:val="22"/>
          <w:szCs w:val="22"/>
          <w:lang w:val="pl-PL"/>
        </w:rPr>
        <w:t xml:space="preserve"> </w:t>
      </w:r>
      <w:r w:rsidR="00611C4C" w:rsidRPr="00C21BD1">
        <w:rPr>
          <w:rFonts w:ascii="Arial" w:hAnsi="Arial" w:cs="Arial"/>
          <w:sz w:val="22"/>
          <w:szCs w:val="22"/>
          <w:lang w:val="pl-PL"/>
        </w:rPr>
        <w:t xml:space="preserve">kojarzone z DNA </w:t>
      </w:r>
      <w:r w:rsidRPr="00C21BD1">
        <w:rPr>
          <w:rFonts w:ascii="Arial" w:hAnsi="Arial" w:cs="Arial"/>
          <w:sz w:val="22"/>
          <w:szCs w:val="22"/>
          <w:lang w:val="pl-PL"/>
        </w:rPr>
        <w:t>marki Built Ford Tough, w tym możliwość przyspieszeni</w:t>
      </w:r>
      <w:r w:rsidR="00337AF1" w:rsidRPr="00C21BD1">
        <w:rPr>
          <w:rFonts w:ascii="Arial" w:hAnsi="Arial" w:cs="Arial"/>
          <w:sz w:val="22"/>
          <w:szCs w:val="22"/>
          <w:lang w:val="pl-PL"/>
        </w:rPr>
        <w:t>a</w:t>
      </w:r>
      <w:r w:rsidRPr="00C21BD1">
        <w:rPr>
          <w:rFonts w:ascii="Arial" w:hAnsi="Arial" w:cs="Arial"/>
          <w:sz w:val="22"/>
          <w:szCs w:val="22"/>
          <w:lang w:val="pl-PL"/>
        </w:rPr>
        <w:t xml:space="preserve"> od 0 do </w:t>
      </w:r>
      <w:r w:rsidR="00C26CEE" w:rsidRPr="00C21BD1">
        <w:rPr>
          <w:rFonts w:ascii="Arial" w:hAnsi="Arial" w:cs="Arial"/>
          <w:sz w:val="22"/>
          <w:szCs w:val="22"/>
          <w:lang w:val="pl-PL"/>
        </w:rPr>
        <w:t>96</w:t>
      </w:r>
      <w:r w:rsidRPr="00C21BD1">
        <w:rPr>
          <w:rFonts w:ascii="Arial" w:hAnsi="Arial" w:cs="Arial"/>
          <w:sz w:val="22"/>
          <w:szCs w:val="22"/>
          <w:lang w:val="pl-PL"/>
        </w:rPr>
        <w:t xml:space="preserve"> km/h w czasie poniżej czterech sekund</w:t>
      </w:r>
      <w:r w:rsidRPr="00C21BD1">
        <w:rPr>
          <w:rFonts w:ascii="Arial" w:hAnsi="Arial" w:cs="Arial"/>
          <w:sz w:val="22"/>
          <w:szCs w:val="22"/>
          <w:vertAlign w:val="superscript"/>
          <w:lang w:val="pl-PL"/>
        </w:rPr>
        <w:t>4</w:t>
      </w:r>
      <w:r w:rsidRPr="00C21BD1">
        <w:rPr>
          <w:rFonts w:ascii="Arial" w:hAnsi="Arial" w:cs="Arial"/>
          <w:sz w:val="22"/>
          <w:szCs w:val="22"/>
          <w:lang w:val="pl-PL"/>
        </w:rPr>
        <w:t xml:space="preserve">, zaawansowaną technologicznie platformę elektryczną pojazdu oraz innowacje związane z </w:t>
      </w:r>
      <w:r w:rsidR="00580F88" w:rsidRPr="00C21BD1">
        <w:rPr>
          <w:rFonts w:ascii="Arial" w:hAnsi="Arial" w:cs="Arial"/>
          <w:sz w:val="22"/>
          <w:szCs w:val="22"/>
          <w:lang w:val="pl-PL"/>
        </w:rPr>
        <w:t>oprogramowaniem</w:t>
      </w:r>
      <w:r w:rsidRPr="00C21BD1">
        <w:rPr>
          <w:rFonts w:ascii="Arial" w:hAnsi="Arial" w:cs="Arial"/>
          <w:sz w:val="22"/>
          <w:szCs w:val="22"/>
          <w:lang w:val="pl-PL"/>
        </w:rPr>
        <w:t xml:space="preserve"> Ford Pro. </w:t>
      </w:r>
    </w:p>
    <w:p w14:paraId="7F48B653" w14:textId="45BF4C98" w:rsidR="007536C1" w:rsidRPr="00C21BD1" w:rsidRDefault="007536C1" w:rsidP="00AB1E67">
      <w:pPr>
        <w:snapToGrid w:val="0"/>
        <w:spacing w:line="259" w:lineRule="auto"/>
        <w:rPr>
          <w:rFonts w:ascii="Arial" w:eastAsia="Arial" w:hAnsi="Arial" w:cs="Arial"/>
          <w:sz w:val="22"/>
          <w:szCs w:val="22"/>
          <w:lang w:val="pl-PL"/>
        </w:rPr>
      </w:pPr>
    </w:p>
    <w:p w14:paraId="56EA38DC" w14:textId="15224380" w:rsidR="008A5DA9" w:rsidRPr="00C21BD1" w:rsidRDefault="008A5DA9" w:rsidP="00AB1E67">
      <w:p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 xml:space="preserve">F-150 Lightning Pro SSV jest przeznaczony do specjalistycznych potrzeb różnych departamentów, które obejmują pomoc na miejscu wypadku albo miejscu przestępstwa czy </w:t>
      </w:r>
      <w:r w:rsidR="00580F88" w:rsidRPr="00C21BD1">
        <w:rPr>
          <w:rFonts w:ascii="Arial" w:eastAsia="Arial" w:hAnsi="Arial" w:cs="Arial"/>
          <w:sz w:val="22"/>
          <w:szCs w:val="22"/>
          <w:lang w:val="pl-PL"/>
        </w:rPr>
        <w:t>holowanie łodzi albo przyczepy. Specjalnie przygotowane przez Forda funkcje</w:t>
      </w:r>
      <w:r w:rsidR="00196D90" w:rsidRPr="00C21BD1">
        <w:rPr>
          <w:rFonts w:ascii="Arial" w:eastAsia="Arial" w:hAnsi="Arial" w:cs="Arial"/>
          <w:sz w:val="22"/>
          <w:szCs w:val="22"/>
          <w:lang w:val="pl-PL"/>
        </w:rPr>
        <w:t xml:space="preserve"> </w:t>
      </w:r>
      <w:r w:rsidR="00580F88" w:rsidRPr="00C21BD1">
        <w:rPr>
          <w:rFonts w:ascii="Arial" w:eastAsia="Arial" w:hAnsi="Arial" w:cs="Arial"/>
          <w:sz w:val="22"/>
          <w:szCs w:val="22"/>
          <w:lang w:val="pl-PL"/>
        </w:rPr>
        <w:t>F-150 Police Responder obejmują:</w:t>
      </w:r>
    </w:p>
    <w:p w14:paraId="67EB015B" w14:textId="76D1269A" w:rsidR="00580F88" w:rsidRPr="00C21BD1" w:rsidRDefault="00580F88" w:rsidP="00580F88">
      <w:pPr>
        <w:pStyle w:val="ListParagraph"/>
        <w:numPr>
          <w:ilvl w:val="0"/>
          <w:numId w:val="29"/>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lastRenderedPageBreak/>
        <w:t>Siedzenia z wytrzymałej tkaniny ze zredukowanymi podpórkami, aby ułatwić wsiadanie i wysiadanie z pojazdu;</w:t>
      </w:r>
    </w:p>
    <w:p w14:paraId="15FFB8B8" w14:textId="494EBB73" w:rsidR="00580F88" w:rsidRPr="00C21BD1" w:rsidRDefault="00580F88" w:rsidP="00580F88">
      <w:pPr>
        <w:pStyle w:val="ListParagraph"/>
        <w:numPr>
          <w:ilvl w:val="0"/>
          <w:numId w:val="29"/>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 xml:space="preserve">Wbudowane stalowe płyty </w:t>
      </w:r>
      <w:r w:rsidR="00501EAF" w:rsidRPr="00C21BD1">
        <w:rPr>
          <w:rFonts w:ascii="Arial" w:hAnsi="Arial" w:cs="Arial"/>
          <w:sz w:val="22"/>
          <w:szCs w:val="22"/>
          <w:lang w:val="pl-PL"/>
        </w:rPr>
        <w:t>wzmacniające i zabezpieczające oparcia przednich foteli</w:t>
      </w:r>
      <w:r w:rsidRPr="00C21BD1">
        <w:rPr>
          <w:rFonts w:ascii="Arial" w:eastAsia="Arial" w:hAnsi="Arial" w:cs="Arial"/>
          <w:sz w:val="22"/>
          <w:szCs w:val="22"/>
          <w:lang w:val="pl-PL"/>
        </w:rPr>
        <w:t>;</w:t>
      </w:r>
    </w:p>
    <w:p w14:paraId="7DC5C0E2" w14:textId="2917741D" w:rsidR="00580F88" w:rsidRPr="00C21BD1" w:rsidRDefault="00580F88" w:rsidP="00580F88">
      <w:pPr>
        <w:pStyle w:val="ListParagraph"/>
        <w:numPr>
          <w:ilvl w:val="0"/>
          <w:numId w:val="29"/>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Dostępne czerwono-niebieskie albo bursztynowo-białe światła ostrzegawcze w technologii LED montowane na dachu;</w:t>
      </w:r>
    </w:p>
    <w:p w14:paraId="03CE3FD3" w14:textId="151FC614" w:rsidR="00580F88" w:rsidRPr="00C21BD1" w:rsidRDefault="00580F88" w:rsidP="00580F88">
      <w:pPr>
        <w:pStyle w:val="ListParagraph"/>
        <w:numPr>
          <w:ilvl w:val="0"/>
          <w:numId w:val="29"/>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 xml:space="preserve">Łatwa w montażu wzmocniona górna półka na desce rozdzielczej, na której może znaleźć się </w:t>
      </w:r>
      <w:r w:rsidR="00196D90" w:rsidRPr="00C21BD1">
        <w:rPr>
          <w:rFonts w:ascii="Arial" w:eastAsia="Arial" w:hAnsi="Arial" w:cs="Arial"/>
          <w:sz w:val="22"/>
          <w:szCs w:val="22"/>
          <w:lang w:val="pl-PL"/>
        </w:rPr>
        <w:t xml:space="preserve">dodatkowe </w:t>
      </w:r>
      <w:r w:rsidRPr="00C21BD1">
        <w:rPr>
          <w:rFonts w:ascii="Arial" w:eastAsia="Arial" w:hAnsi="Arial" w:cs="Arial"/>
          <w:sz w:val="22"/>
          <w:szCs w:val="22"/>
          <w:lang w:val="pl-PL"/>
        </w:rPr>
        <w:t>wyposażenie policyjne;</w:t>
      </w:r>
    </w:p>
    <w:p w14:paraId="57E40409" w14:textId="1DE267F0" w:rsidR="00580F88" w:rsidRPr="00C21BD1" w:rsidRDefault="00580F88" w:rsidP="00580F88">
      <w:pPr>
        <w:pStyle w:val="ListParagraph"/>
        <w:numPr>
          <w:ilvl w:val="0"/>
          <w:numId w:val="29"/>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 xml:space="preserve">Łatwe w czyszczeniu tylne siedzenia i </w:t>
      </w:r>
      <w:r w:rsidR="008A1BF0" w:rsidRPr="00C21BD1">
        <w:rPr>
          <w:rFonts w:ascii="Arial" w:eastAsia="Arial" w:hAnsi="Arial" w:cs="Arial"/>
          <w:sz w:val="22"/>
          <w:szCs w:val="22"/>
          <w:lang w:val="pl-PL"/>
        </w:rPr>
        <w:t xml:space="preserve">podłoga z winylu. </w:t>
      </w:r>
    </w:p>
    <w:p w14:paraId="11BA2494" w14:textId="7F126452" w:rsidR="008A1BF0" w:rsidRPr="00C21BD1" w:rsidRDefault="008A1BF0" w:rsidP="008A1BF0">
      <w:pPr>
        <w:snapToGrid w:val="0"/>
        <w:spacing w:line="259" w:lineRule="auto"/>
        <w:rPr>
          <w:rFonts w:ascii="Arial" w:eastAsia="Arial" w:hAnsi="Arial" w:cs="Arial"/>
          <w:sz w:val="22"/>
          <w:szCs w:val="22"/>
          <w:lang w:val="pl-PL"/>
        </w:rPr>
      </w:pPr>
    </w:p>
    <w:p w14:paraId="7F9FA9D4" w14:textId="52E1957C" w:rsidR="008A1BF0" w:rsidRPr="00C21BD1" w:rsidRDefault="008A1BF0" w:rsidP="008A1BF0">
      <w:p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Standardowe funkcjonalności obejmują natomiast:</w:t>
      </w:r>
    </w:p>
    <w:p w14:paraId="2DA8A064" w14:textId="49F5BA58" w:rsidR="008A1BF0" w:rsidRPr="00C21BD1" w:rsidRDefault="00B022C3" w:rsidP="008A1BF0">
      <w:pPr>
        <w:pStyle w:val="ListParagraph"/>
        <w:numPr>
          <w:ilvl w:val="0"/>
          <w:numId w:val="31"/>
        </w:numPr>
        <w:snapToGrid w:val="0"/>
        <w:spacing w:line="259" w:lineRule="auto"/>
        <w:rPr>
          <w:rFonts w:ascii="Arial" w:eastAsia="Arial" w:hAnsi="Arial" w:cs="Arial"/>
          <w:sz w:val="22"/>
          <w:szCs w:val="22"/>
          <w:lang w:val="pl-PL"/>
        </w:rPr>
      </w:pPr>
      <w:r w:rsidRPr="00C21BD1">
        <w:rPr>
          <w:rFonts w:ascii="Arial" w:eastAsia="Arial" w:hAnsi="Arial" w:cs="Arial"/>
          <w:b/>
          <w:bCs/>
          <w:sz w:val="22"/>
          <w:szCs w:val="22"/>
          <w:lang w:val="pl-PL"/>
        </w:rPr>
        <w:t>Wnętrze:</w:t>
      </w:r>
      <w:r w:rsidRPr="00C21BD1">
        <w:rPr>
          <w:rFonts w:ascii="Arial" w:eastAsia="Arial" w:hAnsi="Arial" w:cs="Arial"/>
          <w:sz w:val="22"/>
          <w:szCs w:val="22"/>
          <w:lang w:val="pl-PL"/>
        </w:rPr>
        <w:t xml:space="preserve"> </w:t>
      </w:r>
      <w:r w:rsidR="008A1BF0" w:rsidRPr="00C21BD1">
        <w:rPr>
          <w:rFonts w:ascii="Arial" w:eastAsia="Arial" w:hAnsi="Arial" w:cs="Arial"/>
          <w:sz w:val="22"/>
          <w:szCs w:val="22"/>
          <w:lang w:val="pl-PL"/>
        </w:rPr>
        <w:t>12-calowy cyfrowy zestaw zegarów i wskaźników oraz 12-calowy ekran dotykowy wbudowany w środkową konsolę;</w:t>
      </w:r>
    </w:p>
    <w:p w14:paraId="0CCE9D15" w14:textId="1749573E" w:rsidR="008A1BF0" w:rsidRPr="00C21BD1" w:rsidRDefault="00B022C3" w:rsidP="008A1BF0">
      <w:pPr>
        <w:pStyle w:val="ListParagraph"/>
        <w:numPr>
          <w:ilvl w:val="0"/>
          <w:numId w:val="31"/>
        </w:numPr>
        <w:snapToGrid w:val="0"/>
        <w:spacing w:line="259" w:lineRule="auto"/>
        <w:rPr>
          <w:rFonts w:ascii="Arial" w:eastAsia="Arial" w:hAnsi="Arial" w:cs="Arial"/>
          <w:sz w:val="22"/>
          <w:szCs w:val="22"/>
          <w:lang w:val="pl-PL"/>
        </w:rPr>
      </w:pPr>
      <w:r w:rsidRPr="00C21BD1">
        <w:rPr>
          <w:rFonts w:ascii="Arial" w:eastAsia="Arial" w:hAnsi="Arial" w:cs="Arial"/>
          <w:b/>
          <w:bCs/>
          <w:sz w:val="22"/>
          <w:szCs w:val="22"/>
          <w:lang w:val="pl-PL"/>
        </w:rPr>
        <w:t>Na zewnątrz:</w:t>
      </w:r>
      <w:r w:rsidRPr="00C21BD1">
        <w:rPr>
          <w:rFonts w:ascii="Arial" w:eastAsia="Arial" w:hAnsi="Arial" w:cs="Arial"/>
          <w:sz w:val="22"/>
          <w:szCs w:val="22"/>
          <w:lang w:val="pl-PL"/>
        </w:rPr>
        <w:t xml:space="preserve"> </w:t>
      </w:r>
      <w:r w:rsidR="008A1BF0" w:rsidRPr="00C21BD1">
        <w:rPr>
          <w:rFonts w:ascii="Arial" w:eastAsia="Arial" w:hAnsi="Arial" w:cs="Arial"/>
          <w:sz w:val="22"/>
          <w:szCs w:val="22"/>
          <w:lang w:val="pl-PL"/>
        </w:rPr>
        <w:t>Mega Power Frunk zapewniający</w:t>
      </w:r>
      <w:r w:rsidR="00DA3641" w:rsidRPr="00C21BD1">
        <w:rPr>
          <w:rFonts w:ascii="Arial" w:eastAsia="Arial" w:hAnsi="Arial" w:cs="Arial"/>
          <w:sz w:val="22"/>
          <w:szCs w:val="22"/>
          <w:lang w:val="pl-PL"/>
        </w:rPr>
        <w:t xml:space="preserve"> </w:t>
      </w:r>
      <w:r w:rsidR="008A1BF0" w:rsidRPr="00C21BD1">
        <w:rPr>
          <w:rFonts w:ascii="Arial" w:eastAsia="Arial" w:hAnsi="Arial" w:cs="Arial"/>
          <w:sz w:val="22"/>
          <w:szCs w:val="22"/>
          <w:lang w:val="pl-PL"/>
        </w:rPr>
        <w:t>zamykaną przestrzeń ładunkową, w którym znajduje się</w:t>
      </w:r>
      <w:r w:rsidR="00DA3641" w:rsidRPr="00C21BD1">
        <w:rPr>
          <w:rFonts w:ascii="Arial" w:eastAsia="Arial" w:hAnsi="Arial" w:cs="Arial"/>
          <w:sz w:val="22"/>
          <w:szCs w:val="22"/>
          <w:lang w:val="pl-PL"/>
        </w:rPr>
        <w:t xml:space="preserve"> też</w:t>
      </w:r>
      <w:r w:rsidR="008A1BF0" w:rsidRPr="00C21BD1">
        <w:rPr>
          <w:rFonts w:ascii="Arial" w:eastAsia="Arial" w:hAnsi="Arial" w:cs="Arial"/>
          <w:sz w:val="22"/>
          <w:szCs w:val="22"/>
          <w:lang w:val="pl-PL"/>
        </w:rPr>
        <w:t xml:space="preserve"> łatwy dostęp d</w:t>
      </w:r>
      <w:r w:rsidR="00D239F5" w:rsidRPr="00C21BD1">
        <w:rPr>
          <w:rFonts w:ascii="Arial" w:eastAsia="Arial" w:hAnsi="Arial" w:cs="Arial"/>
          <w:sz w:val="22"/>
          <w:szCs w:val="22"/>
          <w:lang w:val="pl-PL"/>
        </w:rPr>
        <w:t>o</w:t>
      </w:r>
      <w:r w:rsidR="008A1BF0" w:rsidRPr="00C21BD1">
        <w:rPr>
          <w:rFonts w:ascii="Arial" w:eastAsia="Arial" w:hAnsi="Arial" w:cs="Arial"/>
          <w:sz w:val="22"/>
          <w:szCs w:val="22"/>
          <w:lang w:val="pl-PL"/>
        </w:rPr>
        <w:t xml:space="preserve"> źródeł zasilania;</w:t>
      </w:r>
    </w:p>
    <w:p w14:paraId="31393601" w14:textId="3AED18D5" w:rsidR="00BE77CD" w:rsidRPr="00C21BD1" w:rsidRDefault="00B022C3" w:rsidP="00FE5B69">
      <w:pPr>
        <w:pStyle w:val="ListParagraph"/>
        <w:numPr>
          <w:ilvl w:val="0"/>
          <w:numId w:val="31"/>
        </w:numPr>
        <w:snapToGrid w:val="0"/>
        <w:spacing w:line="259" w:lineRule="auto"/>
        <w:rPr>
          <w:rFonts w:ascii="Arial" w:eastAsia="Arial" w:hAnsi="Arial" w:cs="Arial"/>
          <w:sz w:val="22"/>
          <w:szCs w:val="22"/>
          <w:lang w:val="pl-PL"/>
        </w:rPr>
      </w:pPr>
      <w:r w:rsidRPr="00C21BD1">
        <w:rPr>
          <w:rFonts w:ascii="Arial" w:eastAsia="Arial" w:hAnsi="Arial" w:cs="Arial"/>
          <w:b/>
          <w:bCs/>
          <w:sz w:val="22"/>
          <w:szCs w:val="22"/>
          <w:lang w:val="pl-PL"/>
        </w:rPr>
        <w:t>Zakres możliwości i wydajność:</w:t>
      </w:r>
      <w:r w:rsidRPr="00C21BD1">
        <w:rPr>
          <w:rFonts w:ascii="Arial" w:eastAsia="Arial" w:hAnsi="Arial" w:cs="Arial"/>
          <w:sz w:val="22"/>
          <w:szCs w:val="22"/>
          <w:lang w:val="pl-PL"/>
        </w:rPr>
        <w:t xml:space="preserve"> </w:t>
      </w:r>
      <w:r w:rsidR="008A1BF0" w:rsidRPr="00C21BD1">
        <w:rPr>
          <w:rFonts w:ascii="Arial" w:eastAsia="Arial" w:hAnsi="Arial" w:cs="Arial"/>
          <w:sz w:val="22"/>
          <w:szCs w:val="22"/>
          <w:lang w:val="pl-PL"/>
        </w:rPr>
        <w:t xml:space="preserve">452 KM mocy maksymalnej i </w:t>
      </w:r>
      <w:r w:rsidR="00DA3641" w:rsidRPr="00C21BD1">
        <w:rPr>
          <w:rFonts w:ascii="Arial" w:eastAsia="Arial" w:hAnsi="Arial" w:cs="Arial"/>
          <w:sz w:val="22"/>
          <w:szCs w:val="22"/>
          <w:lang w:val="pl-PL"/>
        </w:rPr>
        <w:t>1 050</w:t>
      </w:r>
      <w:r w:rsidR="008A1BF0" w:rsidRPr="00C21BD1">
        <w:rPr>
          <w:rFonts w:ascii="Arial" w:eastAsia="Arial" w:hAnsi="Arial" w:cs="Arial"/>
          <w:sz w:val="22"/>
          <w:szCs w:val="22"/>
          <w:lang w:val="pl-PL"/>
        </w:rPr>
        <w:t xml:space="preserve"> Nm </w:t>
      </w:r>
      <w:r w:rsidR="009A3CDE" w:rsidRPr="00C21BD1">
        <w:rPr>
          <w:rFonts w:ascii="Arial" w:eastAsia="Arial" w:hAnsi="Arial" w:cs="Arial"/>
          <w:sz w:val="22"/>
          <w:szCs w:val="22"/>
          <w:lang w:val="pl-PL"/>
        </w:rPr>
        <w:t xml:space="preserve">maksymalnego </w:t>
      </w:r>
      <w:r w:rsidR="008A1BF0" w:rsidRPr="00C21BD1">
        <w:rPr>
          <w:rFonts w:ascii="Arial" w:eastAsia="Arial" w:hAnsi="Arial" w:cs="Arial"/>
          <w:sz w:val="22"/>
          <w:szCs w:val="22"/>
          <w:lang w:val="pl-PL"/>
        </w:rPr>
        <w:t>momentu obrotowego</w:t>
      </w:r>
      <w:r w:rsidR="00C26CEE" w:rsidRPr="00C21BD1">
        <w:rPr>
          <w:rFonts w:ascii="Arial" w:eastAsia="Arial" w:hAnsi="Arial" w:cs="Arial"/>
          <w:sz w:val="22"/>
          <w:szCs w:val="22"/>
          <w:vertAlign w:val="superscript"/>
          <w:lang w:val="pl-PL"/>
        </w:rPr>
        <w:t>5</w:t>
      </w:r>
      <w:r w:rsidR="008A1BF0" w:rsidRPr="00C21BD1">
        <w:rPr>
          <w:rFonts w:ascii="Arial" w:eastAsia="Arial" w:hAnsi="Arial" w:cs="Arial"/>
          <w:sz w:val="22"/>
          <w:szCs w:val="22"/>
          <w:lang w:val="pl-PL"/>
        </w:rPr>
        <w:t xml:space="preserve">, 3 500 kg zdolności holowniczej i </w:t>
      </w:r>
      <w:r w:rsidR="00BE77CD" w:rsidRPr="00C21BD1">
        <w:rPr>
          <w:rFonts w:ascii="Arial" w:eastAsia="Arial" w:hAnsi="Arial" w:cs="Arial"/>
          <w:sz w:val="22"/>
          <w:szCs w:val="22"/>
          <w:lang w:val="pl-PL"/>
        </w:rPr>
        <w:t>1 000 kg maksymalnej ładowności</w:t>
      </w:r>
      <w:r w:rsidR="00BE77CD" w:rsidRPr="00C21BD1">
        <w:rPr>
          <w:rFonts w:ascii="Arial" w:eastAsia="Arial" w:hAnsi="Arial" w:cs="Arial"/>
          <w:sz w:val="22"/>
          <w:szCs w:val="22"/>
          <w:vertAlign w:val="superscript"/>
          <w:lang w:val="pl-PL"/>
        </w:rPr>
        <w:t>7</w:t>
      </w:r>
      <w:r w:rsidR="00BE77CD" w:rsidRPr="00C21BD1">
        <w:rPr>
          <w:rFonts w:ascii="Arial" w:eastAsia="Arial" w:hAnsi="Arial" w:cs="Arial"/>
          <w:sz w:val="22"/>
          <w:szCs w:val="22"/>
          <w:lang w:val="pl-PL"/>
        </w:rPr>
        <w:t xml:space="preserve"> w wersji ze standardowym akumulatorem</w:t>
      </w:r>
      <w:r w:rsidRPr="00C21BD1">
        <w:rPr>
          <w:rFonts w:ascii="Arial" w:eastAsia="Arial" w:hAnsi="Arial" w:cs="Arial"/>
          <w:sz w:val="22"/>
          <w:szCs w:val="22"/>
          <w:lang w:val="pl-PL"/>
        </w:rPr>
        <w:t xml:space="preserve"> albo </w:t>
      </w:r>
      <w:r w:rsidR="009A3CDE" w:rsidRPr="00C21BD1">
        <w:rPr>
          <w:rFonts w:ascii="Arial" w:eastAsia="Arial" w:hAnsi="Arial" w:cs="Arial"/>
          <w:sz w:val="22"/>
          <w:szCs w:val="22"/>
          <w:lang w:val="pl-PL"/>
        </w:rPr>
        <w:t>p</w:t>
      </w:r>
      <w:r w:rsidR="00BE77CD" w:rsidRPr="00C21BD1">
        <w:rPr>
          <w:rFonts w:ascii="Arial" w:eastAsia="Arial" w:hAnsi="Arial" w:cs="Arial"/>
          <w:sz w:val="22"/>
          <w:szCs w:val="22"/>
          <w:lang w:val="pl-PL"/>
        </w:rPr>
        <w:t xml:space="preserve">rzyspieszenie od 0 do </w:t>
      </w:r>
      <w:r w:rsidR="00EA66E8" w:rsidRPr="00C21BD1">
        <w:rPr>
          <w:rFonts w:ascii="Arial" w:eastAsia="Arial" w:hAnsi="Arial" w:cs="Arial"/>
          <w:sz w:val="22"/>
          <w:szCs w:val="22"/>
          <w:lang w:val="pl-PL"/>
        </w:rPr>
        <w:t xml:space="preserve">96 </w:t>
      </w:r>
      <w:r w:rsidR="00BE77CD" w:rsidRPr="00C21BD1">
        <w:rPr>
          <w:rFonts w:ascii="Arial" w:eastAsia="Arial" w:hAnsi="Arial" w:cs="Arial"/>
          <w:sz w:val="22"/>
          <w:szCs w:val="22"/>
          <w:lang w:val="pl-PL"/>
        </w:rPr>
        <w:t xml:space="preserve"> km/h poniżej czterech sekund</w:t>
      </w:r>
      <w:r w:rsidR="009A3CDE" w:rsidRPr="00C21BD1">
        <w:rPr>
          <w:rFonts w:ascii="Arial" w:eastAsia="Arial" w:hAnsi="Arial" w:cs="Arial"/>
          <w:sz w:val="22"/>
          <w:szCs w:val="22"/>
          <w:lang w:val="pl-PL"/>
        </w:rPr>
        <w:t xml:space="preserve">, 580 KM mocy maksymalnej, </w:t>
      </w:r>
      <w:r w:rsidR="00DA3641" w:rsidRPr="00C21BD1">
        <w:rPr>
          <w:rFonts w:ascii="Arial" w:eastAsia="Arial" w:hAnsi="Arial" w:cs="Arial"/>
          <w:sz w:val="22"/>
          <w:szCs w:val="22"/>
          <w:lang w:val="pl-PL"/>
        </w:rPr>
        <w:t>1 050</w:t>
      </w:r>
      <w:r w:rsidR="009A3CDE" w:rsidRPr="00C21BD1">
        <w:rPr>
          <w:rFonts w:ascii="Arial" w:eastAsia="Arial" w:hAnsi="Arial" w:cs="Arial"/>
          <w:sz w:val="22"/>
          <w:szCs w:val="22"/>
          <w:lang w:val="pl-PL"/>
        </w:rPr>
        <w:t xml:space="preserve"> Nm maksymalnego momentu obrotowego</w:t>
      </w:r>
      <w:r w:rsidR="00213C51" w:rsidRPr="00C21BD1">
        <w:rPr>
          <w:rFonts w:ascii="Arial" w:eastAsia="Arial" w:hAnsi="Arial" w:cs="Arial"/>
          <w:sz w:val="22"/>
          <w:szCs w:val="22"/>
          <w:lang w:val="pl-PL"/>
        </w:rPr>
        <w:t xml:space="preserve"> i 4 500 kg zdolności holowniczej</w:t>
      </w:r>
      <w:r w:rsidR="00C26CEE" w:rsidRPr="00C21BD1">
        <w:rPr>
          <w:rFonts w:ascii="Arial" w:eastAsia="Arial" w:hAnsi="Arial" w:cs="Arial"/>
          <w:sz w:val="22"/>
          <w:szCs w:val="22"/>
          <w:vertAlign w:val="superscript"/>
          <w:lang w:val="pl-PL"/>
        </w:rPr>
        <w:t>6</w:t>
      </w:r>
      <w:r w:rsidR="00213C51" w:rsidRPr="00C21BD1">
        <w:rPr>
          <w:rFonts w:ascii="Arial" w:eastAsia="Arial" w:hAnsi="Arial" w:cs="Arial"/>
          <w:sz w:val="22"/>
          <w:szCs w:val="22"/>
          <w:lang w:val="pl-PL"/>
        </w:rPr>
        <w:t xml:space="preserve"> w wersji z akumulatorem o zwiększonym zasięgu. </w:t>
      </w:r>
    </w:p>
    <w:p w14:paraId="7B8FC088" w14:textId="623C0C1D" w:rsidR="003D5A75" w:rsidRPr="00C21BD1" w:rsidRDefault="00B022C3" w:rsidP="003D5A75">
      <w:pPr>
        <w:pStyle w:val="ListParagraph"/>
        <w:numPr>
          <w:ilvl w:val="0"/>
          <w:numId w:val="31"/>
        </w:numPr>
        <w:snapToGrid w:val="0"/>
        <w:spacing w:line="259" w:lineRule="auto"/>
        <w:rPr>
          <w:rFonts w:ascii="Arial" w:eastAsia="Arial" w:hAnsi="Arial" w:cs="Arial"/>
          <w:sz w:val="22"/>
          <w:szCs w:val="22"/>
          <w:lang w:val="pl-PL"/>
        </w:rPr>
      </w:pPr>
      <w:r w:rsidRPr="00C21BD1">
        <w:rPr>
          <w:rFonts w:ascii="Arial" w:eastAsia="Arial" w:hAnsi="Arial" w:cs="Arial"/>
          <w:b/>
          <w:bCs/>
          <w:sz w:val="22"/>
          <w:szCs w:val="22"/>
          <w:lang w:val="pl-PL"/>
        </w:rPr>
        <w:t>Technologie:</w:t>
      </w:r>
      <w:r w:rsidRPr="00C21BD1">
        <w:rPr>
          <w:rFonts w:ascii="Arial" w:eastAsia="Arial" w:hAnsi="Arial" w:cs="Arial"/>
          <w:sz w:val="22"/>
          <w:szCs w:val="22"/>
          <w:lang w:val="pl-PL"/>
        </w:rPr>
        <w:t xml:space="preserve"> Intelligent Range, która optymalizuje trasy podczas podróży, SYNC 4, bezprzewodowe aktualizacje Ford Power-Up</w:t>
      </w:r>
      <w:r w:rsidR="00DA3641" w:rsidRPr="00C21BD1">
        <w:rPr>
          <w:rFonts w:ascii="Arial" w:eastAsia="Arial" w:hAnsi="Arial" w:cs="Arial"/>
          <w:sz w:val="22"/>
          <w:szCs w:val="22"/>
          <w:lang w:val="pl-PL"/>
        </w:rPr>
        <w:t>, Ford Co-Pilot360 z systemem automatycznego hamowania awaryjnego, informacją o ruchu poprzecznym i monitorowaniem martwego pola (BLIS)</w:t>
      </w:r>
      <w:r w:rsidR="00C26CEE" w:rsidRPr="00C21BD1">
        <w:rPr>
          <w:rFonts w:ascii="Arial" w:eastAsia="Arial" w:hAnsi="Arial" w:cs="Arial"/>
          <w:sz w:val="22"/>
          <w:szCs w:val="22"/>
          <w:vertAlign w:val="superscript"/>
          <w:lang w:val="pl-PL"/>
        </w:rPr>
        <w:t>8</w:t>
      </w:r>
      <w:r w:rsidR="00DA3641" w:rsidRPr="00C21BD1">
        <w:rPr>
          <w:rFonts w:ascii="Arial" w:eastAsia="Arial" w:hAnsi="Arial" w:cs="Arial"/>
          <w:sz w:val="22"/>
          <w:szCs w:val="22"/>
          <w:lang w:val="pl-PL"/>
        </w:rPr>
        <w:t>.</w:t>
      </w:r>
    </w:p>
    <w:p w14:paraId="34A9A9A6" w14:textId="1083AA95" w:rsidR="00C26CEE" w:rsidRPr="00C21BD1" w:rsidRDefault="00C26CEE" w:rsidP="00C26CEE">
      <w:pPr>
        <w:snapToGrid w:val="0"/>
        <w:spacing w:line="259" w:lineRule="auto"/>
        <w:rPr>
          <w:rFonts w:ascii="Arial" w:eastAsia="Arial" w:hAnsi="Arial" w:cs="Arial"/>
          <w:sz w:val="22"/>
          <w:szCs w:val="22"/>
          <w:lang w:val="pl-PL"/>
        </w:rPr>
      </w:pPr>
    </w:p>
    <w:p w14:paraId="7DBCA972" w14:textId="17258E2F" w:rsidR="007C2600" w:rsidRPr="00122824" w:rsidRDefault="007C2600" w:rsidP="00544BB4">
      <w:pPr>
        <w:snapToGrid w:val="0"/>
        <w:spacing w:line="259" w:lineRule="auto"/>
        <w:rPr>
          <w:rFonts w:ascii="Arial" w:eastAsia="Arial" w:hAnsi="Arial" w:cs="Arial"/>
          <w:b/>
          <w:bCs/>
          <w:sz w:val="22"/>
          <w:szCs w:val="22"/>
          <w:lang w:val="pl-PL"/>
        </w:rPr>
      </w:pPr>
      <w:r w:rsidRPr="00122824">
        <w:rPr>
          <w:rFonts w:ascii="Arial" w:eastAsia="Arial" w:hAnsi="Arial" w:cs="Arial"/>
          <w:b/>
          <w:bCs/>
          <w:sz w:val="22"/>
          <w:szCs w:val="22"/>
          <w:lang w:val="pl-PL"/>
        </w:rPr>
        <w:t xml:space="preserve">Amerykańscy klienci działu Ford Pro SSV mogą także czerpać korzyści z poniższych </w:t>
      </w:r>
      <w:r w:rsidR="009A35E0" w:rsidRPr="00122824">
        <w:rPr>
          <w:rFonts w:ascii="Arial" w:eastAsia="Arial" w:hAnsi="Arial" w:cs="Arial"/>
          <w:b/>
          <w:bCs/>
          <w:sz w:val="22"/>
          <w:szCs w:val="22"/>
          <w:lang w:val="pl-PL"/>
        </w:rPr>
        <w:t>funkcjonalności</w:t>
      </w:r>
      <w:r w:rsidRPr="00122824">
        <w:rPr>
          <w:rFonts w:ascii="Arial" w:eastAsia="Arial" w:hAnsi="Arial" w:cs="Arial"/>
          <w:b/>
          <w:bCs/>
          <w:sz w:val="22"/>
          <w:szCs w:val="22"/>
          <w:lang w:val="pl-PL"/>
        </w:rPr>
        <w:t>:</w:t>
      </w:r>
    </w:p>
    <w:p w14:paraId="37B5A400" w14:textId="3B5E487C" w:rsidR="007D0A11" w:rsidRPr="00C21BD1" w:rsidRDefault="007C2600" w:rsidP="007C2600">
      <w:pPr>
        <w:pStyle w:val="ListParagraph"/>
        <w:numPr>
          <w:ilvl w:val="0"/>
          <w:numId w:val="33"/>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 xml:space="preserve">Ford E-Telematics </w:t>
      </w:r>
      <w:r w:rsidR="007D0A11" w:rsidRPr="00C21BD1">
        <w:rPr>
          <w:rFonts w:ascii="Arial" w:eastAsia="Arial" w:hAnsi="Arial" w:cs="Arial"/>
          <w:sz w:val="22"/>
          <w:szCs w:val="22"/>
          <w:lang w:val="pl-PL"/>
        </w:rPr>
        <w:t>–</w:t>
      </w:r>
      <w:r w:rsidRPr="00C21BD1">
        <w:rPr>
          <w:rFonts w:ascii="Arial" w:eastAsia="Arial" w:hAnsi="Arial" w:cs="Arial"/>
          <w:sz w:val="22"/>
          <w:szCs w:val="22"/>
          <w:lang w:val="pl-PL"/>
        </w:rPr>
        <w:t xml:space="preserve"> </w:t>
      </w:r>
      <w:r w:rsidR="007D0A11" w:rsidRPr="00C21BD1">
        <w:rPr>
          <w:rFonts w:ascii="Arial" w:eastAsia="Arial" w:hAnsi="Arial" w:cs="Arial"/>
          <w:sz w:val="22"/>
          <w:szCs w:val="22"/>
          <w:lang w:val="pl-PL"/>
        </w:rPr>
        <w:t xml:space="preserve">oprogramowanie dostarcza dane ze </w:t>
      </w:r>
      <w:r w:rsidR="009A35E0" w:rsidRPr="00C21BD1">
        <w:rPr>
          <w:rFonts w:ascii="Arial" w:eastAsia="Arial" w:hAnsi="Arial" w:cs="Arial"/>
          <w:sz w:val="22"/>
          <w:szCs w:val="22"/>
          <w:lang w:val="pl-PL"/>
        </w:rPr>
        <w:t>skomunikowanych</w:t>
      </w:r>
      <w:r w:rsidR="007D0A11" w:rsidRPr="00C21BD1">
        <w:rPr>
          <w:rFonts w:ascii="Arial" w:eastAsia="Arial" w:hAnsi="Arial" w:cs="Arial"/>
          <w:sz w:val="22"/>
          <w:szCs w:val="22"/>
          <w:lang w:val="pl-PL"/>
        </w:rPr>
        <w:t xml:space="preserve"> pojazdów Forda, w celu </w:t>
      </w:r>
      <w:r w:rsidR="009A35E0" w:rsidRPr="00C21BD1">
        <w:rPr>
          <w:rFonts w:ascii="Arial" w:eastAsia="Arial" w:hAnsi="Arial" w:cs="Arial"/>
          <w:sz w:val="22"/>
          <w:szCs w:val="22"/>
          <w:lang w:val="pl-PL"/>
        </w:rPr>
        <w:t>proponowania</w:t>
      </w:r>
      <w:r w:rsidR="007D0A11" w:rsidRPr="00C21BD1">
        <w:rPr>
          <w:rFonts w:ascii="Arial" w:eastAsia="Arial" w:hAnsi="Arial" w:cs="Arial"/>
          <w:sz w:val="22"/>
          <w:szCs w:val="22"/>
          <w:lang w:val="pl-PL"/>
        </w:rPr>
        <w:t xml:space="preserve"> rozwiązań związanych z obniżeniem kosztów eksploatacj</w:t>
      </w:r>
      <w:r w:rsidR="008C511B" w:rsidRPr="00C21BD1">
        <w:rPr>
          <w:rFonts w:ascii="Arial" w:eastAsia="Arial" w:hAnsi="Arial" w:cs="Arial"/>
          <w:sz w:val="22"/>
          <w:szCs w:val="22"/>
          <w:lang w:val="pl-PL"/>
        </w:rPr>
        <w:t>i</w:t>
      </w:r>
      <w:r w:rsidR="007D0A11" w:rsidRPr="00C21BD1">
        <w:rPr>
          <w:rFonts w:ascii="Arial" w:eastAsia="Arial" w:hAnsi="Arial" w:cs="Arial"/>
          <w:sz w:val="22"/>
          <w:szCs w:val="22"/>
          <w:lang w:val="pl-PL"/>
        </w:rPr>
        <w:t xml:space="preserve">, </w:t>
      </w:r>
      <w:r w:rsidR="00A942DA" w:rsidRPr="00C21BD1">
        <w:rPr>
          <w:rFonts w:ascii="Arial" w:eastAsia="Arial" w:hAnsi="Arial" w:cs="Arial"/>
          <w:sz w:val="22"/>
          <w:szCs w:val="22"/>
          <w:lang w:val="pl-PL"/>
        </w:rPr>
        <w:t xml:space="preserve">efektywniejszym wykorzystaniem posiadanej floty pojazdów, zaplanowaniem </w:t>
      </w:r>
      <w:r w:rsidR="007D0A11" w:rsidRPr="00C21BD1">
        <w:rPr>
          <w:rFonts w:ascii="Arial" w:eastAsia="Arial" w:hAnsi="Arial" w:cs="Arial"/>
          <w:sz w:val="22"/>
          <w:szCs w:val="22"/>
          <w:lang w:val="pl-PL"/>
        </w:rPr>
        <w:t>niezbędnych usług serwisowych i wielu innych;</w:t>
      </w:r>
    </w:p>
    <w:p w14:paraId="71D76B72" w14:textId="086BCC8A" w:rsidR="007C2600" w:rsidRPr="00C21BD1" w:rsidRDefault="006076F2" w:rsidP="007C2600">
      <w:pPr>
        <w:pStyle w:val="ListParagraph"/>
        <w:numPr>
          <w:ilvl w:val="0"/>
          <w:numId w:val="33"/>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Zlokalizowana na terenie USA s</w:t>
      </w:r>
      <w:r w:rsidR="007D0A11" w:rsidRPr="00C21BD1">
        <w:rPr>
          <w:rFonts w:ascii="Arial" w:eastAsia="Arial" w:hAnsi="Arial" w:cs="Arial"/>
          <w:sz w:val="22"/>
          <w:szCs w:val="22"/>
          <w:lang w:val="pl-PL"/>
        </w:rPr>
        <w:t xml:space="preserve">ieć ponad 650 </w:t>
      </w:r>
      <w:r w:rsidR="008D61DA" w:rsidRPr="00C21BD1">
        <w:rPr>
          <w:rFonts w:ascii="Arial" w:eastAsia="Arial" w:hAnsi="Arial" w:cs="Arial"/>
          <w:sz w:val="22"/>
          <w:szCs w:val="22"/>
          <w:lang w:val="pl-PL"/>
        </w:rPr>
        <w:t>certyfikowanych</w:t>
      </w:r>
      <w:r w:rsidR="007D0A11" w:rsidRPr="00C21BD1">
        <w:rPr>
          <w:rFonts w:ascii="Arial" w:eastAsia="Arial" w:hAnsi="Arial" w:cs="Arial"/>
          <w:sz w:val="22"/>
          <w:szCs w:val="22"/>
          <w:lang w:val="pl-PL"/>
        </w:rPr>
        <w:t xml:space="preserve"> centrów </w:t>
      </w:r>
      <w:r w:rsidR="008D61DA" w:rsidRPr="00C21BD1">
        <w:rPr>
          <w:rFonts w:ascii="Arial" w:eastAsia="Arial" w:hAnsi="Arial" w:cs="Arial"/>
          <w:sz w:val="22"/>
          <w:szCs w:val="22"/>
          <w:lang w:val="pl-PL"/>
        </w:rPr>
        <w:t xml:space="preserve">pojazdów </w:t>
      </w:r>
      <w:r w:rsidR="009A35E0" w:rsidRPr="00C21BD1">
        <w:rPr>
          <w:rFonts w:ascii="Arial" w:eastAsia="Arial" w:hAnsi="Arial" w:cs="Arial"/>
          <w:sz w:val="22"/>
          <w:szCs w:val="22"/>
          <w:lang w:val="pl-PL"/>
        </w:rPr>
        <w:t>użytkowych</w:t>
      </w:r>
      <w:r w:rsidR="00BA7839" w:rsidRPr="00C21BD1">
        <w:rPr>
          <w:rFonts w:ascii="Arial" w:eastAsia="Arial" w:hAnsi="Arial" w:cs="Arial"/>
          <w:sz w:val="22"/>
          <w:szCs w:val="22"/>
          <w:lang w:val="pl-PL"/>
        </w:rPr>
        <w:t xml:space="preserve"> </w:t>
      </w:r>
      <w:r w:rsidR="008D61DA" w:rsidRPr="00C21BD1">
        <w:rPr>
          <w:rFonts w:ascii="Arial" w:eastAsia="Arial" w:hAnsi="Arial" w:cs="Arial"/>
          <w:sz w:val="22"/>
          <w:szCs w:val="22"/>
          <w:lang w:val="pl-PL"/>
        </w:rPr>
        <w:t>dedykowanych</w:t>
      </w:r>
      <w:r w:rsidR="007D0A11" w:rsidRPr="00C21BD1">
        <w:rPr>
          <w:rFonts w:ascii="Arial" w:eastAsia="Arial" w:hAnsi="Arial" w:cs="Arial"/>
          <w:sz w:val="22"/>
          <w:szCs w:val="22"/>
          <w:lang w:val="pl-PL"/>
        </w:rPr>
        <w:t xml:space="preserve"> elektryczny</w:t>
      </w:r>
      <w:r w:rsidRPr="00C21BD1">
        <w:rPr>
          <w:rFonts w:ascii="Arial" w:eastAsia="Arial" w:hAnsi="Arial" w:cs="Arial"/>
          <w:sz w:val="22"/>
          <w:szCs w:val="22"/>
          <w:lang w:val="pl-PL"/>
        </w:rPr>
        <w:t>m</w:t>
      </w:r>
      <w:r w:rsidR="007D0A11" w:rsidRPr="00C21BD1">
        <w:rPr>
          <w:rFonts w:ascii="Arial" w:eastAsia="Arial" w:hAnsi="Arial" w:cs="Arial"/>
          <w:sz w:val="22"/>
          <w:szCs w:val="22"/>
          <w:lang w:val="pl-PL"/>
        </w:rPr>
        <w:t xml:space="preserve"> pojazd</w:t>
      </w:r>
      <w:r w:rsidRPr="00C21BD1">
        <w:rPr>
          <w:rFonts w:ascii="Arial" w:eastAsia="Arial" w:hAnsi="Arial" w:cs="Arial"/>
          <w:sz w:val="22"/>
          <w:szCs w:val="22"/>
          <w:lang w:val="pl-PL"/>
        </w:rPr>
        <w:t>om</w:t>
      </w:r>
      <w:r w:rsidR="007D0A11" w:rsidRPr="00C21BD1">
        <w:rPr>
          <w:rFonts w:ascii="Arial" w:eastAsia="Arial" w:hAnsi="Arial" w:cs="Arial"/>
          <w:sz w:val="22"/>
          <w:szCs w:val="22"/>
          <w:lang w:val="pl-PL"/>
        </w:rPr>
        <w:t xml:space="preserve"> </w:t>
      </w:r>
      <w:r w:rsidR="009A35E0" w:rsidRPr="00C21BD1">
        <w:rPr>
          <w:rFonts w:ascii="Arial" w:eastAsia="Arial" w:hAnsi="Arial" w:cs="Arial"/>
          <w:sz w:val="22"/>
          <w:szCs w:val="22"/>
          <w:lang w:val="pl-PL"/>
        </w:rPr>
        <w:t>dostawczy</w:t>
      </w:r>
      <w:r w:rsidRPr="00C21BD1">
        <w:rPr>
          <w:rFonts w:ascii="Arial" w:eastAsia="Arial" w:hAnsi="Arial" w:cs="Arial"/>
          <w:sz w:val="22"/>
          <w:szCs w:val="22"/>
          <w:lang w:val="pl-PL"/>
        </w:rPr>
        <w:t>m</w:t>
      </w:r>
      <w:r w:rsidR="00BA7839" w:rsidRPr="00C21BD1">
        <w:rPr>
          <w:rFonts w:ascii="Arial" w:eastAsia="Arial" w:hAnsi="Arial" w:cs="Arial"/>
          <w:sz w:val="22"/>
          <w:szCs w:val="22"/>
          <w:lang w:val="pl-PL"/>
        </w:rPr>
        <w:t xml:space="preserve"> </w:t>
      </w:r>
      <w:r w:rsidR="007D0A11" w:rsidRPr="00C21BD1">
        <w:rPr>
          <w:rFonts w:ascii="Arial" w:eastAsia="Arial" w:hAnsi="Arial" w:cs="Arial"/>
          <w:sz w:val="22"/>
          <w:szCs w:val="22"/>
          <w:lang w:val="pl-PL"/>
        </w:rPr>
        <w:t>Forda</w:t>
      </w:r>
      <w:r w:rsidR="008D61DA" w:rsidRPr="00C21BD1">
        <w:rPr>
          <w:rFonts w:ascii="Arial" w:eastAsia="Arial" w:hAnsi="Arial" w:cs="Arial"/>
          <w:sz w:val="22"/>
          <w:szCs w:val="22"/>
          <w:lang w:val="pl-PL"/>
        </w:rPr>
        <w:t>, oferując</w:t>
      </w:r>
      <w:r w:rsidRPr="00C21BD1">
        <w:rPr>
          <w:rFonts w:ascii="Arial" w:eastAsia="Arial" w:hAnsi="Arial" w:cs="Arial"/>
          <w:sz w:val="22"/>
          <w:szCs w:val="22"/>
          <w:lang w:val="pl-PL"/>
        </w:rPr>
        <w:t>a</w:t>
      </w:r>
      <w:r w:rsidR="008D61DA" w:rsidRPr="00C21BD1">
        <w:rPr>
          <w:rFonts w:ascii="Arial" w:eastAsia="Arial" w:hAnsi="Arial" w:cs="Arial"/>
          <w:sz w:val="22"/>
          <w:szCs w:val="22"/>
          <w:lang w:val="pl-PL"/>
        </w:rPr>
        <w:t xml:space="preserve"> sprzedaż, serwis, finansowanie oraz rozwiązania </w:t>
      </w:r>
      <w:r w:rsidR="00BA7839" w:rsidRPr="00C21BD1">
        <w:rPr>
          <w:rFonts w:ascii="Arial" w:eastAsia="Arial" w:hAnsi="Arial" w:cs="Arial"/>
          <w:sz w:val="22"/>
          <w:szCs w:val="22"/>
          <w:lang w:val="pl-PL"/>
        </w:rPr>
        <w:t>w zakresie</w:t>
      </w:r>
      <w:r w:rsidR="008D61DA" w:rsidRPr="00C21BD1">
        <w:rPr>
          <w:rFonts w:ascii="Arial" w:eastAsia="Arial" w:hAnsi="Arial" w:cs="Arial"/>
          <w:sz w:val="22"/>
          <w:szCs w:val="22"/>
          <w:lang w:val="pl-PL"/>
        </w:rPr>
        <w:t xml:space="preserve"> ładowani</w:t>
      </w:r>
      <w:r w:rsidR="00BA7839" w:rsidRPr="00C21BD1">
        <w:rPr>
          <w:rFonts w:ascii="Arial" w:eastAsia="Arial" w:hAnsi="Arial" w:cs="Arial"/>
          <w:sz w:val="22"/>
          <w:szCs w:val="22"/>
          <w:lang w:val="pl-PL"/>
        </w:rPr>
        <w:t>a</w:t>
      </w:r>
      <w:r w:rsidR="008D61DA" w:rsidRPr="00C21BD1">
        <w:rPr>
          <w:rFonts w:ascii="Arial" w:eastAsia="Arial" w:hAnsi="Arial" w:cs="Arial"/>
          <w:sz w:val="22"/>
          <w:szCs w:val="22"/>
          <w:lang w:val="pl-PL"/>
        </w:rPr>
        <w:t xml:space="preserve">, a także 2 300 </w:t>
      </w:r>
      <w:r w:rsidR="00081C8F" w:rsidRPr="00C21BD1">
        <w:rPr>
          <w:rFonts w:ascii="Arial" w:eastAsia="Arial" w:hAnsi="Arial" w:cs="Arial"/>
          <w:sz w:val="22"/>
          <w:szCs w:val="22"/>
          <w:lang w:val="pl-PL"/>
        </w:rPr>
        <w:t xml:space="preserve">wyspecjalizowanych w obsłudze BEV (Battery Electric Vehicle) </w:t>
      </w:r>
      <w:r w:rsidR="008D61DA" w:rsidRPr="00C21BD1">
        <w:rPr>
          <w:rFonts w:ascii="Arial" w:eastAsia="Arial" w:hAnsi="Arial" w:cs="Arial"/>
          <w:sz w:val="22"/>
          <w:szCs w:val="22"/>
          <w:lang w:val="pl-PL"/>
        </w:rPr>
        <w:t>autoryzowanych dilerów Forda</w:t>
      </w:r>
      <w:r w:rsidRPr="00C21BD1">
        <w:rPr>
          <w:rFonts w:ascii="Arial" w:eastAsia="Arial" w:hAnsi="Arial" w:cs="Arial"/>
          <w:sz w:val="22"/>
          <w:szCs w:val="22"/>
          <w:lang w:val="pl-PL"/>
        </w:rPr>
        <w:t>;</w:t>
      </w:r>
      <w:r w:rsidR="00081C8F" w:rsidRPr="00C21BD1">
        <w:rPr>
          <w:rFonts w:ascii="Arial" w:eastAsia="Arial" w:hAnsi="Arial" w:cs="Arial"/>
          <w:sz w:val="22"/>
          <w:szCs w:val="22"/>
          <w:lang w:val="pl-PL"/>
        </w:rPr>
        <w:t xml:space="preserve"> </w:t>
      </w:r>
    </w:p>
    <w:p w14:paraId="53B55858" w14:textId="026CB5CB" w:rsidR="008D61DA" w:rsidRPr="00C21BD1" w:rsidRDefault="008D61DA" w:rsidP="007C2600">
      <w:pPr>
        <w:pStyle w:val="ListParagraph"/>
        <w:numPr>
          <w:ilvl w:val="0"/>
          <w:numId w:val="33"/>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Usługi doradcze z</w:t>
      </w:r>
      <w:r w:rsidR="00BA7839" w:rsidRPr="00C21BD1">
        <w:rPr>
          <w:rFonts w:ascii="Arial" w:eastAsia="Arial" w:hAnsi="Arial" w:cs="Arial"/>
          <w:sz w:val="22"/>
          <w:szCs w:val="22"/>
          <w:lang w:val="pl-PL"/>
        </w:rPr>
        <w:t>wiązane z</w:t>
      </w:r>
      <w:r w:rsidRPr="00C21BD1">
        <w:rPr>
          <w:rFonts w:ascii="Arial" w:eastAsia="Arial" w:hAnsi="Arial" w:cs="Arial"/>
          <w:sz w:val="22"/>
          <w:szCs w:val="22"/>
          <w:lang w:val="pl-PL"/>
        </w:rPr>
        <w:t xml:space="preserve"> instalacją i </w:t>
      </w:r>
      <w:r w:rsidR="00BA7839" w:rsidRPr="00C21BD1">
        <w:rPr>
          <w:rFonts w:ascii="Arial" w:eastAsia="Arial" w:hAnsi="Arial" w:cs="Arial"/>
          <w:sz w:val="22"/>
          <w:szCs w:val="22"/>
          <w:lang w:val="pl-PL"/>
        </w:rPr>
        <w:t>eksploatacją</w:t>
      </w:r>
      <w:r w:rsidRPr="00C21BD1">
        <w:rPr>
          <w:rFonts w:ascii="Arial" w:eastAsia="Arial" w:hAnsi="Arial" w:cs="Arial"/>
          <w:sz w:val="22"/>
          <w:szCs w:val="22"/>
          <w:lang w:val="pl-PL"/>
        </w:rPr>
        <w:t xml:space="preserve"> ładowarek</w:t>
      </w:r>
      <w:r w:rsidR="00E149D9" w:rsidRPr="00C21BD1">
        <w:rPr>
          <w:rFonts w:ascii="Arial" w:eastAsia="Arial" w:hAnsi="Arial" w:cs="Arial"/>
          <w:sz w:val="22"/>
          <w:szCs w:val="22"/>
          <w:lang w:val="pl-PL"/>
        </w:rPr>
        <w:t>, zarządzaniem danymi oraz usługami cyfrowymi;</w:t>
      </w:r>
    </w:p>
    <w:p w14:paraId="6802BAE9" w14:textId="68EC7F72" w:rsidR="00E149D9" w:rsidRPr="00C21BD1" w:rsidRDefault="00E149D9" w:rsidP="007C2600">
      <w:pPr>
        <w:pStyle w:val="ListParagraph"/>
        <w:numPr>
          <w:ilvl w:val="0"/>
          <w:numId w:val="33"/>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 xml:space="preserve">Finansowe ramię Ford Pro – FinSimple – oferuje samorządom lokalnym </w:t>
      </w:r>
      <w:r w:rsidR="00A942DA" w:rsidRPr="00C21BD1">
        <w:rPr>
          <w:rFonts w:ascii="Arial" w:eastAsia="Arial" w:hAnsi="Arial" w:cs="Arial"/>
          <w:sz w:val="22"/>
          <w:szCs w:val="22"/>
          <w:lang w:val="pl-PL"/>
        </w:rPr>
        <w:t xml:space="preserve">proste i </w:t>
      </w:r>
      <w:r w:rsidRPr="00C21BD1">
        <w:rPr>
          <w:rFonts w:ascii="Arial" w:eastAsia="Arial" w:hAnsi="Arial" w:cs="Arial"/>
          <w:sz w:val="22"/>
          <w:szCs w:val="22"/>
          <w:lang w:val="pl-PL"/>
        </w:rPr>
        <w:t xml:space="preserve">elastyczne </w:t>
      </w:r>
      <w:r w:rsidR="009A35E0" w:rsidRPr="00C21BD1">
        <w:rPr>
          <w:rFonts w:ascii="Arial" w:eastAsia="Arial" w:hAnsi="Arial" w:cs="Arial"/>
          <w:sz w:val="22"/>
          <w:szCs w:val="22"/>
          <w:lang w:val="pl-PL"/>
        </w:rPr>
        <w:t xml:space="preserve">formy </w:t>
      </w:r>
      <w:r w:rsidRPr="00C21BD1">
        <w:rPr>
          <w:rFonts w:ascii="Arial" w:eastAsia="Arial" w:hAnsi="Arial" w:cs="Arial"/>
          <w:sz w:val="22"/>
          <w:szCs w:val="22"/>
          <w:lang w:val="pl-PL"/>
        </w:rPr>
        <w:t xml:space="preserve">finansowania zakupu </w:t>
      </w:r>
      <w:r w:rsidR="009A35E0" w:rsidRPr="00C21BD1">
        <w:rPr>
          <w:rFonts w:ascii="Arial" w:eastAsia="Arial" w:hAnsi="Arial" w:cs="Arial"/>
          <w:sz w:val="22"/>
          <w:szCs w:val="22"/>
          <w:lang w:val="pl-PL"/>
        </w:rPr>
        <w:t>pojazdów</w:t>
      </w:r>
      <w:r w:rsidRPr="00C21BD1">
        <w:rPr>
          <w:rFonts w:ascii="Arial" w:eastAsia="Arial" w:hAnsi="Arial" w:cs="Arial"/>
          <w:sz w:val="22"/>
          <w:szCs w:val="22"/>
          <w:lang w:val="pl-PL"/>
        </w:rPr>
        <w:t xml:space="preserve"> elektrycznych</w:t>
      </w:r>
      <w:r w:rsidR="00C21BD1" w:rsidRPr="00C21BD1">
        <w:rPr>
          <w:rFonts w:ascii="Arial" w:eastAsia="Arial" w:hAnsi="Arial" w:cs="Arial"/>
          <w:sz w:val="22"/>
          <w:szCs w:val="22"/>
          <w:lang w:val="pl-PL"/>
        </w:rPr>
        <w:t>,</w:t>
      </w:r>
      <w:r w:rsidRPr="00C21BD1">
        <w:rPr>
          <w:rFonts w:ascii="Arial" w:eastAsia="Arial" w:hAnsi="Arial" w:cs="Arial"/>
          <w:sz w:val="22"/>
          <w:szCs w:val="22"/>
          <w:lang w:val="pl-PL"/>
        </w:rPr>
        <w:t xml:space="preserve"> stacji ładowania wraz z </w:t>
      </w:r>
      <w:r w:rsidR="00C21BD1" w:rsidRPr="00C21BD1">
        <w:rPr>
          <w:rFonts w:ascii="Arial" w:eastAsia="Arial" w:hAnsi="Arial" w:cs="Arial"/>
          <w:sz w:val="22"/>
          <w:szCs w:val="22"/>
          <w:lang w:val="pl-PL"/>
        </w:rPr>
        <w:t xml:space="preserve">ich </w:t>
      </w:r>
      <w:r w:rsidR="009A35E0" w:rsidRPr="00C21BD1">
        <w:rPr>
          <w:rFonts w:ascii="Arial" w:eastAsia="Arial" w:hAnsi="Arial" w:cs="Arial"/>
          <w:sz w:val="22"/>
          <w:szCs w:val="22"/>
          <w:lang w:val="pl-PL"/>
        </w:rPr>
        <w:t xml:space="preserve">montażem oraz dostępem do sprzętu </w:t>
      </w:r>
      <w:r w:rsidR="00C21BD1" w:rsidRPr="00C21BD1">
        <w:rPr>
          <w:rFonts w:ascii="Arial" w:eastAsia="Arial" w:hAnsi="Arial" w:cs="Arial"/>
          <w:sz w:val="22"/>
          <w:szCs w:val="22"/>
          <w:lang w:val="pl-PL"/>
        </w:rPr>
        <w:t>i</w:t>
      </w:r>
      <w:r w:rsidR="009A35E0" w:rsidRPr="00C21BD1">
        <w:rPr>
          <w:rFonts w:ascii="Arial" w:eastAsia="Arial" w:hAnsi="Arial" w:cs="Arial"/>
          <w:sz w:val="22"/>
          <w:szCs w:val="22"/>
          <w:lang w:val="pl-PL"/>
        </w:rPr>
        <w:t xml:space="preserve"> oprogramowania</w:t>
      </w:r>
      <w:r w:rsidRPr="00C21BD1">
        <w:rPr>
          <w:rFonts w:ascii="Arial" w:eastAsia="Arial" w:hAnsi="Arial" w:cs="Arial"/>
          <w:sz w:val="22"/>
          <w:szCs w:val="22"/>
          <w:lang w:val="pl-PL"/>
        </w:rPr>
        <w:t xml:space="preserve"> tak, by ułatwić </w:t>
      </w:r>
      <w:r w:rsidR="009A35E0" w:rsidRPr="00C21BD1">
        <w:rPr>
          <w:rFonts w:ascii="Arial" w:eastAsia="Arial" w:hAnsi="Arial" w:cs="Arial"/>
          <w:sz w:val="22"/>
          <w:szCs w:val="22"/>
          <w:lang w:val="pl-PL"/>
        </w:rPr>
        <w:t xml:space="preserve">gminom </w:t>
      </w:r>
      <w:r w:rsidRPr="00C21BD1">
        <w:rPr>
          <w:rFonts w:ascii="Arial" w:eastAsia="Arial" w:hAnsi="Arial" w:cs="Arial"/>
          <w:sz w:val="22"/>
          <w:szCs w:val="22"/>
          <w:lang w:val="pl-PL"/>
        </w:rPr>
        <w:t>przejście na floty elektryczne;</w:t>
      </w:r>
    </w:p>
    <w:p w14:paraId="74C663F3" w14:textId="77777777" w:rsidR="00C21BD1" w:rsidRPr="00C21BD1" w:rsidRDefault="00E149D9" w:rsidP="00544BB4">
      <w:pPr>
        <w:pStyle w:val="ListParagraph"/>
        <w:numPr>
          <w:ilvl w:val="0"/>
          <w:numId w:val="33"/>
        </w:num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t xml:space="preserve">Ford Pro Zabudowy </w:t>
      </w:r>
      <w:r w:rsidR="00BA7839" w:rsidRPr="00C21BD1">
        <w:rPr>
          <w:rFonts w:ascii="Arial" w:eastAsia="Arial" w:hAnsi="Arial" w:cs="Arial"/>
          <w:sz w:val="22"/>
          <w:szCs w:val="22"/>
          <w:lang w:val="pl-PL"/>
        </w:rPr>
        <w:t>–</w:t>
      </w:r>
      <w:r w:rsidRPr="00C21BD1">
        <w:rPr>
          <w:rFonts w:ascii="Arial" w:eastAsia="Arial" w:hAnsi="Arial" w:cs="Arial"/>
          <w:sz w:val="22"/>
          <w:szCs w:val="22"/>
          <w:lang w:val="pl-PL"/>
        </w:rPr>
        <w:t xml:space="preserve"> </w:t>
      </w:r>
      <w:r w:rsidR="00BA7839" w:rsidRPr="00C21BD1">
        <w:rPr>
          <w:rFonts w:ascii="Arial" w:eastAsia="Arial" w:hAnsi="Arial" w:cs="Arial"/>
          <w:sz w:val="22"/>
          <w:szCs w:val="22"/>
          <w:lang w:val="pl-PL"/>
        </w:rPr>
        <w:t xml:space="preserve">oferowane bezpłatnie zestawienie najnowszych informacji oraz </w:t>
      </w:r>
      <w:r w:rsidR="009A35E0" w:rsidRPr="00C21BD1">
        <w:rPr>
          <w:rFonts w:ascii="Arial" w:eastAsia="Arial" w:hAnsi="Arial" w:cs="Arial"/>
          <w:sz w:val="22"/>
          <w:szCs w:val="22"/>
          <w:lang w:val="pl-PL"/>
        </w:rPr>
        <w:t>przewodników</w:t>
      </w:r>
      <w:r w:rsidR="00BA7839" w:rsidRPr="00C21BD1">
        <w:rPr>
          <w:rFonts w:ascii="Arial" w:eastAsia="Arial" w:hAnsi="Arial" w:cs="Arial"/>
          <w:sz w:val="22"/>
          <w:szCs w:val="22"/>
          <w:lang w:val="pl-PL"/>
        </w:rPr>
        <w:t xml:space="preserve"> na temat specjalistycznych zabudów oraz akcesoriów dostępnych już po zakupie pojazdu.</w:t>
      </w:r>
      <w:r w:rsidRPr="00C21BD1">
        <w:rPr>
          <w:rFonts w:ascii="Arial" w:eastAsia="Arial" w:hAnsi="Arial" w:cs="Arial"/>
          <w:sz w:val="22"/>
          <w:szCs w:val="22"/>
          <w:lang w:val="pl-PL"/>
        </w:rPr>
        <w:t xml:space="preserve"> </w:t>
      </w:r>
    </w:p>
    <w:p w14:paraId="5A54FD8C" w14:textId="03A890C4" w:rsidR="00544BB4" w:rsidRPr="00C21BD1" w:rsidRDefault="00544BB4" w:rsidP="00C21BD1">
      <w:pPr>
        <w:snapToGrid w:val="0"/>
        <w:spacing w:line="259" w:lineRule="auto"/>
        <w:rPr>
          <w:rFonts w:ascii="Arial" w:eastAsia="Arial" w:hAnsi="Arial" w:cs="Arial"/>
          <w:sz w:val="22"/>
          <w:szCs w:val="22"/>
          <w:lang w:val="pl-PL"/>
        </w:rPr>
      </w:pPr>
      <w:r w:rsidRPr="00C21BD1">
        <w:rPr>
          <w:rFonts w:ascii="Arial" w:eastAsia="Arial" w:hAnsi="Arial" w:cs="Arial"/>
          <w:sz w:val="22"/>
          <w:szCs w:val="22"/>
          <w:lang w:val="pl-PL"/>
        </w:rPr>
        <w:lastRenderedPageBreak/>
        <w:t xml:space="preserve">Więcej szczegółowych danych dotyczących pierwszego w USA całkowicie elektrycznego pick-upa przeznaczonego dla policji można znaleźć na stronie: </w:t>
      </w:r>
      <w:hyperlink r:id="rId8" w:history="1">
        <w:r w:rsidRPr="00C21BD1">
          <w:rPr>
            <w:rStyle w:val="Hyperlink"/>
            <w:rFonts w:ascii="Arial" w:hAnsi="Arial" w:cs="Arial"/>
            <w:color w:val="00095B"/>
            <w:sz w:val="21"/>
            <w:szCs w:val="21"/>
            <w:lang w:val="pl-PL"/>
          </w:rPr>
          <w:t>www.ford.com/police-vehicles/ssv/.</w:t>
        </w:r>
      </w:hyperlink>
    </w:p>
    <w:p w14:paraId="5AB9523A" w14:textId="77777777" w:rsidR="00544BB4" w:rsidRPr="00C21BD1" w:rsidRDefault="00544BB4" w:rsidP="00C26CEE">
      <w:pPr>
        <w:snapToGrid w:val="0"/>
        <w:spacing w:line="259" w:lineRule="auto"/>
        <w:rPr>
          <w:rFonts w:ascii="Arial" w:eastAsia="Arial" w:hAnsi="Arial" w:cs="Arial"/>
          <w:sz w:val="22"/>
          <w:szCs w:val="22"/>
          <w:lang w:val="pl-PL"/>
        </w:rPr>
      </w:pPr>
    </w:p>
    <w:p w14:paraId="3BE013E0" w14:textId="7AC470ED" w:rsidR="00C26CEE" w:rsidRPr="00C21BD1" w:rsidRDefault="00C26CEE" w:rsidP="00C26CEE">
      <w:pPr>
        <w:jc w:val="center"/>
        <w:rPr>
          <w:rFonts w:ascii="Arial" w:hAnsi="Arial" w:cs="Arial"/>
          <w:color w:val="000000" w:themeColor="text1"/>
          <w:sz w:val="22"/>
          <w:szCs w:val="22"/>
          <w:lang w:val="pl-PL"/>
        </w:rPr>
      </w:pPr>
      <w:r w:rsidRPr="00C21BD1">
        <w:rPr>
          <w:rFonts w:ascii="Arial" w:hAnsi="Arial" w:cs="Arial"/>
          <w:color w:val="000000" w:themeColor="text1"/>
          <w:sz w:val="22"/>
          <w:szCs w:val="22"/>
          <w:lang w:val="pl-PL"/>
        </w:rPr>
        <w:t># # #</w:t>
      </w:r>
    </w:p>
    <w:p w14:paraId="3F70034C" w14:textId="473B5DAA" w:rsidR="003D5A75" w:rsidRPr="00C21BD1" w:rsidRDefault="003D5A75" w:rsidP="003D5A75">
      <w:pPr>
        <w:snapToGrid w:val="0"/>
        <w:spacing w:line="259" w:lineRule="auto"/>
        <w:rPr>
          <w:rFonts w:ascii="Arial" w:eastAsia="Arial" w:hAnsi="Arial" w:cs="Arial"/>
          <w:sz w:val="22"/>
          <w:szCs w:val="22"/>
          <w:lang w:val="pl-PL"/>
        </w:rPr>
      </w:pPr>
    </w:p>
    <w:p w14:paraId="4B85218B" w14:textId="1E273ED8" w:rsidR="003D5A75" w:rsidRPr="00C21BD1" w:rsidRDefault="003D5A75" w:rsidP="003D5A75">
      <w:pPr>
        <w:snapToGrid w:val="0"/>
        <w:spacing w:line="259" w:lineRule="auto"/>
        <w:rPr>
          <w:rFonts w:ascii="Arial" w:eastAsia="Arial" w:hAnsi="Arial" w:cs="Arial"/>
          <w:szCs w:val="20"/>
          <w:lang w:val="pl-PL"/>
        </w:rPr>
      </w:pPr>
      <w:r w:rsidRPr="00C21BD1">
        <w:rPr>
          <w:rFonts w:ascii="Arial" w:eastAsia="Arial" w:hAnsi="Arial" w:cs="Arial"/>
          <w:szCs w:val="20"/>
          <w:vertAlign w:val="superscript"/>
          <w:lang w:val="pl-PL"/>
        </w:rPr>
        <w:t>1</w:t>
      </w:r>
      <w:r w:rsidRPr="00C21BD1">
        <w:rPr>
          <w:rFonts w:ascii="Arial" w:eastAsia="Arial" w:hAnsi="Arial" w:cs="Arial"/>
          <w:szCs w:val="20"/>
          <w:lang w:val="pl-PL"/>
        </w:rPr>
        <w:t xml:space="preserve"> Na podstawie danych rejestracji nowych pojazdów z S&amp;P Global Mobility przy ograniczeniu do </w:t>
      </w:r>
      <w:r w:rsidR="00A060E1" w:rsidRPr="00C21BD1">
        <w:rPr>
          <w:rFonts w:ascii="Arial" w:eastAsia="Arial" w:hAnsi="Arial" w:cs="Arial"/>
          <w:szCs w:val="20"/>
          <w:lang w:val="pl-PL"/>
        </w:rPr>
        <w:t>służb</w:t>
      </w:r>
      <w:r w:rsidRPr="00C21BD1">
        <w:rPr>
          <w:rFonts w:ascii="Arial" w:eastAsia="Arial" w:hAnsi="Arial" w:cs="Arial"/>
          <w:szCs w:val="20"/>
          <w:lang w:val="pl-PL"/>
        </w:rPr>
        <w:t xml:space="preserve"> rządowych</w:t>
      </w:r>
      <w:r w:rsidR="00F76726" w:rsidRPr="00C21BD1">
        <w:rPr>
          <w:rFonts w:ascii="Arial" w:eastAsia="Arial" w:hAnsi="Arial" w:cs="Arial"/>
          <w:szCs w:val="20"/>
          <w:lang w:val="pl-PL"/>
        </w:rPr>
        <w:t xml:space="preserve"> oraz pojazdów POL i SSV – dane za 2021 rok.</w:t>
      </w:r>
    </w:p>
    <w:p w14:paraId="15A2C578" w14:textId="7EC44281" w:rsidR="00F76726" w:rsidRPr="00C21BD1" w:rsidRDefault="00F76726" w:rsidP="003D5A75">
      <w:pPr>
        <w:snapToGrid w:val="0"/>
        <w:spacing w:line="259" w:lineRule="auto"/>
        <w:rPr>
          <w:rFonts w:ascii="Arial" w:eastAsia="Arial" w:hAnsi="Arial" w:cs="Arial"/>
          <w:szCs w:val="20"/>
          <w:lang w:val="pl-PL"/>
        </w:rPr>
      </w:pPr>
      <w:r w:rsidRPr="00C21BD1">
        <w:rPr>
          <w:rFonts w:ascii="Arial" w:eastAsia="Arial" w:hAnsi="Arial" w:cs="Arial"/>
          <w:szCs w:val="20"/>
          <w:vertAlign w:val="superscript"/>
          <w:lang w:val="pl-PL"/>
        </w:rPr>
        <w:t>2</w:t>
      </w:r>
      <w:r w:rsidRPr="00C21BD1">
        <w:rPr>
          <w:rFonts w:ascii="Arial" w:eastAsia="Arial" w:hAnsi="Arial" w:cs="Arial"/>
          <w:szCs w:val="20"/>
          <w:lang w:val="pl-PL"/>
        </w:rPr>
        <w:t xml:space="preserve"> Maksymalny pobór mocy </w:t>
      </w:r>
      <w:r w:rsidR="00B25166" w:rsidRPr="00C21BD1">
        <w:rPr>
          <w:rFonts w:ascii="Arial" w:eastAsia="Arial" w:hAnsi="Arial" w:cs="Arial"/>
          <w:szCs w:val="20"/>
          <w:lang w:val="pl-PL"/>
        </w:rPr>
        <w:t>nieprzekraczający limitów określonych w instrukcji obsługi pojazdu. Ważne in</w:t>
      </w:r>
      <w:r w:rsidR="008A5664" w:rsidRPr="00C21BD1">
        <w:rPr>
          <w:rFonts w:ascii="Arial" w:eastAsia="Arial" w:hAnsi="Arial" w:cs="Arial"/>
          <w:szCs w:val="20"/>
          <w:lang w:val="pl-PL"/>
        </w:rPr>
        <w:t>formacje</w:t>
      </w:r>
      <w:r w:rsidR="00B25166" w:rsidRPr="00C21BD1">
        <w:rPr>
          <w:rFonts w:ascii="Arial" w:eastAsia="Arial" w:hAnsi="Arial" w:cs="Arial"/>
          <w:szCs w:val="20"/>
          <w:lang w:val="pl-PL"/>
        </w:rPr>
        <w:t xml:space="preserve"> dotyczące obsługi znajdują się w instrukcji obsługi. </w:t>
      </w:r>
    </w:p>
    <w:p w14:paraId="127D0228" w14:textId="24FDC7E5" w:rsidR="00B25166" w:rsidRPr="00C21BD1" w:rsidRDefault="00B25166" w:rsidP="003D5A75">
      <w:pPr>
        <w:snapToGrid w:val="0"/>
        <w:spacing w:line="259" w:lineRule="auto"/>
        <w:rPr>
          <w:rFonts w:ascii="Arial" w:eastAsia="Arial" w:hAnsi="Arial" w:cs="Arial"/>
          <w:szCs w:val="20"/>
          <w:lang w:val="pl-PL"/>
        </w:rPr>
      </w:pPr>
      <w:r w:rsidRPr="00C21BD1">
        <w:rPr>
          <w:rFonts w:ascii="Arial" w:eastAsia="Arial" w:hAnsi="Arial" w:cs="Arial"/>
          <w:szCs w:val="20"/>
          <w:vertAlign w:val="superscript"/>
          <w:lang w:val="pl-PL"/>
        </w:rPr>
        <w:t>3</w:t>
      </w:r>
      <w:r w:rsidRPr="00C21BD1">
        <w:rPr>
          <w:rFonts w:ascii="Arial" w:eastAsia="Arial" w:hAnsi="Arial" w:cs="Arial"/>
          <w:szCs w:val="20"/>
          <w:lang w:val="pl-PL"/>
        </w:rPr>
        <w:t xml:space="preserve"> Zaplanowane koszty eksploatacyjne w porównaniu ze spalinowym modelem EcoBoost o pojemności 2,7 litra w oparciu o zalecany harmonogram serwisowania opublikowany w instrukcji obsługi. Analiza odzwierciedla standardową metodę Ford Motor Company obliczania planowych kosztów </w:t>
      </w:r>
      <w:r w:rsidR="008A5664" w:rsidRPr="00C21BD1">
        <w:rPr>
          <w:rFonts w:ascii="Arial" w:eastAsia="Arial" w:hAnsi="Arial" w:cs="Arial"/>
          <w:szCs w:val="20"/>
          <w:lang w:val="pl-PL"/>
        </w:rPr>
        <w:t>serwisowania</w:t>
      </w:r>
      <w:r w:rsidRPr="00C21BD1">
        <w:rPr>
          <w:rFonts w:ascii="Arial" w:eastAsia="Arial" w:hAnsi="Arial" w:cs="Arial"/>
          <w:szCs w:val="20"/>
          <w:lang w:val="pl-PL"/>
        </w:rPr>
        <w:t xml:space="preserve"> i odzwierciedla dane dostępne w 2020 roku.</w:t>
      </w:r>
    </w:p>
    <w:p w14:paraId="6FA5D15F" w14:textId="7C7633C4" w:rsidR="00B25166" w:rsidRPr="00C21BD1" w:rsidRDefault="00B25166" w:rsidP="003D5A75">
      <w:pPr>
        <w:snapToGrid w:val="0"/>
        <w:spacing w:line="259" w:lineRule="auto"/>
        <w:rPr>
          <w:rFonts w:ascii="Arial" w:eastAsia="Arial" w:hAnsi="Arial" w:cs="Arial"/>
          <w:szCs w:val="20"/>
          <w:lang w:val="pl-PL"/>
        </w:rPr>
      </w:pPr>
      <w:r w:rsidRPr="00C21BD1">
        <w:rPr>
          <w:rFonts w:ascii="Arial" w:eastAsia="Arial" w:hAnsi="Arial" w:cs="Arial"/>
          <w:szCs w:val="20"/>
          <w:vertAlign w:val="superscript"/>
          <w:lang w:val="pl-PL"/>
        </w:rPr>
        <w:t>4</w:t>
      </w:r>
      <w:r w:rsidRPr="00C21BD1">
        <w:rPr>
          <w:rFonts w:ascii="Arial" w:eastAsia="Arial" w:hAnsi="Arial" w:cs="Arial"/>
          <w:szCs w:val="20"/>
          <w:lang w:val="pl-PL"/>
        </w:rPr>
        <w:t xml:space="preserve"> Dane testowe Forda oparte na typowej metodologii branżowej przy użyciu</w:t>
      </w:r>
      <w:r w:rsidR="007D5416" w:rsidRPr="00C21BD1">
        <w:rPr>
          <w:rFonts w:ascii="Arial" w:eastAsia="Arial" w:hAnsi="Arial" w:cs="Arial"/>
          <w:szCs w:val="20"/>
          <w:lang w:val="pl-PL"/>
        </w:rPr>
        <w:t xml:space="preserve"> przesunięcia o czas przejechanie 1 stopy (1-ft. Rollout). Rezultaty mogą się różnić w zależności od próby.</w:t>
      </w:r>
    </w:p>
    <w:p w14:paraId="5DACE043" w14:textId="36EA6446" w:rsidR="007D5416" w:rsidRPr="00C21BD1" w:rsidRDefault="007D5416" w:rsidP="003D5A75">
      <w:pPr>
        <w:snapToGrid w:val="0"/>
        <w:spacing w:line="259" w:lineRule="auto"/>
        <w:rPr>
          <w:rFonts w:ascii="Arial" w:eastAsia="Arial" w:hAnsi="Arial" w:cs="Arial"/>
          <w:szCs w:val="20"/>
          <w:lang w:val="pl-PL"/>
        </w:rPr>
      </w:pPr>
      <w:r w:rsidRPr="00C21BD1">
        <w:rPr>
          <w:rFonts w:ascii="Arial" w:eastAsia="Arial" w:hAnsi="Arial" w:cs="Arial"/>
          <w:szCs w:val="20"/>
          <w:vertAlign w:val="superscript"/>
          <w:lang w:val="pl-PL"/>
        </w:rPr>
        <w:t>5</w:t>
      </w:r>
      <w:r w:rsidRPr="00C21BD1">
        <w:rPr>
          <w:rFonts w:ascii="Arial" w:eastAsia="Arial" w:hAnsi="Arial" w:cs="Arial"/>
          <w:szCs w:val="20"/>
          <w:lang w:val="pl-PL"/>
        </w:rPr>
        <w:t xml:space="preserve"> Moc i moment obrotowy są niezależnymi parametrami i nie można ich osiągnąć</w:t>
      </w:r>
      <w:r w:rsidR="008A5664" w:rsidRPr="00C21BD1">
        <w:rPr>
          <w:rFonts w:ascii="Arial" w:eastAsia="Arial" w:hAnsi="Arial" w:cs="Arial"/>
          <w:szCs w:val="20"/>
          <w:lang w:val="pl-PL"/>
        </w:rPr>
        <w:t xml:space="preserve"> </w:t>
      </w:r>
      <w:r w:rsidRPr="00C21BD1">
        <w:rPr>
          <w:rFonts w:ascii="Arial" w:eastAsia="Arial" w:hAnsi="Arial" w:cs="Arial"/>
          <w:szCs w:val="20"/>
          <w:lang w:val="pl-PL"/>
        </w:rPr>
        <w:t xml:space="preserve">jednocześnie. Dane podane na podstawie testów producenta z wykorzystaniem komputerowych symulacji inżynieryjnych. </w:t>
      </w:r>
      <w:r w:rsidR="00AB620D" w:rsidRPr="00C21BD1">
        <w:rPr>
          <w:rFonts w:ascii="Arial" w:eastAsia="Arial" w:hAnsi="Arial" w:cs="Arial"/>
          <w:szCs w:val="20"/>
          <w:lang w:val="pl-PL"/>
        </w:rPr>
        <w:t>Obliczono na podstawie maksymalnych osiągów silników elektrycznych przy maksymalnej mocy akumulatora. Rezultaty mogą się różnić w zależności od próby.</w:t>
      </w:r>
    </w:p>
    <w:p w14:paraId="2025B2BF" w14:textId="0154AAE0" w:rsidR="00AB620D" w:rsidRPr="00C21BD1" w:rsidRDefault="00AB620D" w:rsidP="003D5A75">
      <w:pPr>
        <w:snapToGrid w:val="0"/>
        <w:spacing w:line="259" w:lineRule="auto"/>
        <w:rPr>
          <w:rFonts w:ascii="Arial" w:eastAsia="Arial" w:hAnsi="Arial" w:cs="Arial"/>
          <w:szCs w:val="20"/>
          <w:lang w:val="pl-PL"/>
        </w:rPr>
      </w:pPr>
      <w:r w:rsidRPr="00C21BD1">
        <w:rPr>
          <w:rFonts w:ascii="Arial" w:eastAsia="Arial" w:hAnsi="Arial" w:cs="Arial"/>
          <w:szCs w:val="20"/>
          <w:vertAlign w:val="superscript"/>
          <w:lang w:val="pl-PL"/>
        </w:rPr>
        <w:t>6</w:t>
      </w:r>
      <w:r w:rsidRPr="00C21BD1">
        <w:rPr>
          <w:rFonts w:ascii="Arial" w:eastAsia="Arial" w:hAnsi="Arial" w:cs="Arial"/>
          <w:szCs w:val="20"/>
          <w:lang w:val="pl-PL"/>
        </w:rPr>
        <w:t xml:space="preserve"> Maksymalna wartość holowania w modelach Pro z dostępnym akumulatorem o zwiększonym zasięgu i specjalnym pakietem Max. Trailer Tow Package. Wartość może różnić się w zależności od ładunku, konfiguracji pojazdu, akcesoriów i liczby pasażerów. </w:t>
      </w:r>
    </w:p>
    <w:p w14:paraId="26361652" w14:textId="723FB159" w:rsidR="00790E63" w:rsidRPr="00C21BD1" w:rsidRDefault="00790E63" w:rsidP="003D5A75">
      <w:pPr>
        <w:snapToGrid w:val="0"/>
        <w:spacing w:line="259" w:lineRule="auto"/>
        <w:rPr>
          <w:rFonts w:ascii="Arial" w:eastAsia="Arial" w:hAnsi="Arial" w:cs="Arial"/>
          <w:szCs w:val="20"/>
          <w:lang w:val="pl-PL"/>
        </w:rPr>
      </w:pPr>
      <w:r w:rsidRPr="00C21BD1">
        <w:rPr>
          <w:rFonts w:ascii="Arial" w:eastAsia="Arial" w:hAnsi="Arial" w:cs="Arial"/>
          <w:szCs w:val="20"/>
          <w:vertAlign w:val="superscript"/>
          <w:lang w:val="pl-PL"/>
        </w:rPr>
        <w:t>7</w:t>
      </w:r>
      <w:r w:rsidRPr="00C21BD1">
        <w:rPr>
          <w:rFonts w:ascii="Arial" w:eastAsia="Arial" w:hAnsi="Arial" w:cs="Arial"/>
          <w:szCs w:val="20"/>
          <w:lang w:val="pl-PL"/>
        </w:rPr>
        <w:t xml:space="preserve"> Maksymalna ładowność z akumulatorem o standardowym zasięgu i 18-calowymi kołami. Dane o ładowności każdego pojazdu znajdują się na etykiecie zamieszczonej na </w:t>
      </w:r>
      <w:r w:rsidR="00544BB4" w:rsidRPr="00C21BD1">
        <w:rPr>
          <w:rFonts w:ascii="Arial" w:eastAsia="Arial" w:hAnsi="Arial" w:cs="Arial"/>
          <w:szCs w:val="20"/>
          <w:lang w:val="pl-PL"/>
        </w:rPr>
        <w:t>słupku B po stronie kierowcy</w:t>
      </w:r>
      <w:r w:rsidRPr="00C21BD1">
        <w:rPr>
          <w:rFonts w:ascii="Arial" w:eastAsia="Arial" w:hAnsi="Arial" w:cs="Arial"/>
          <w:szCs w:val="20"/>
          <w:lang w:val="pl-PL"/>
        </w:rPr>
        <w:t>.</w:t>
      </w:r>
    </w:p>
    <w:p w14:paraId="2E4793A7" w14:textId="5D2D40BD" w:rsidR="00B25166" w:rsidRPr="00C21BD1" w:rsidRDefault="00790E63" w:rsidP="003D5A75">
      <w:pPr>
        <w:snapToGrid w:val="0"/>
        <w:spacing w:line="259" w:lineRule="auto"/>
        <w:rPr>
          <w:rFonts w:ascii="Arial" w:eastAsia="Arial" w:hAnsi="Arial" w:cs="Arial"/>
          <w:szCs w:val="20"/>
          <w:lang w:val="pl-PL"/>
        </w:rPr>
      </w:pPr>
      <w:r w:rsidRPr="00C21BD1">
        <w:rPr>
          <w:rFonts w:ascii="Arial" w:eastAsia="Arial" w:hAnsi="Arial" w:cs="Arial"/>
          <w:szCs w:val="20"/>
          <w:vertAlign w:val="superscript"/>
          <w:lang w:val="pl-PL"/>
        </w:rPr>
        <w:t>8</w:t>
      </w:r>
      <w:r w:rsidRPr="00C21BD1">
        <w:rPr>
          <w:rFonts w:ascii="Arial" w:eastAsia="Arial" w:hAnsi="Arial" w:cs="Arial"/>
          <w:szCs w:val="20"/>
          <w:lang w:val="pl-PL"/>
        </w:rPr>
        <w:t xml:space="preserve"> Funkcje wspomagania kierowcy mają charakter uzupełniający i nie zastępują uwagi kierowcy, jego oceny sytuacji i potrzeby kontrolowania pojazdu. Szczegółowe informacje znajdują się w instrukcji obsługi. </w:t>
      </w:r>
    </w:p>
    <w:p w14:paraId="632C7E85" w14:textId="77777777" w:rsidR="00F11ACB" w:rsidRPr="00C21BD1" w:rsidRDefault="00F11ACB" w:rsidP="00F11ACB">
      <w:pPr>
        <w:pStyle w:val="BodyText2"/>
        <w:spacing w:line="240" w:lineRule="auto"/>
        <w:rPr>
          <w:rFonts w:ascii="Arial" w:hAnsi="Arial" w:cs="Arial"/>
          <w:sz w:val="22"/>
          <w:szCs w:val="22"/>
          <w:lang w:val="pl-PL"/>
        </w:rPr>
      </w:pPr>
    </w:p>
    <w:p w14:paraId="40A84473" w14:textId="77777777" w:rsidR="007F7650" w:rsidRPr="00C21BD1" w:rsidRDefault="007F7650" w:rsidP="00F11ACB">
      <w:pPr>
        <w:jc w:val="center"/>
        <w:rPr>
          <w:rFonts w:ascii="Arial" w:hAnsi="Arial" w:cs="Arial"/>
          <w:color w:val="000000" w:themeColor="text1"/>
          <w:sz w:val="22"/>
          <w:szCs w:val="22"/>
          <w:lang w:val="pl-PL"/>
        </w:rPr>
      </w:pPr>
      <w:r w:rsidRPr="00C21BD1">
        <w:rPr>
          <w:rFonts w:ascii="Arial" w:hAnsi="Arial" w:cs="Arial"/>
          <w:color w:val="000000" w:themeColor="text1"/>
          <w:sz w:val="22"/>
          <w:szCs w:val="22"/>
          <w:lang w:val="pl-PL"/>
        </w:rPr>
        <w:t># # #</w:t>
      </w:r>
    </w:p>
    <w:p w14:paraId="1256B6AA" w14:textId="455C1B2A" w:rsidR="007F7650" w:rsidRPr="00C21BD1"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C21BD1" w:rsidRDefault="006E3119" w:rsidP="006E3119">
      <w:pPr>
        <w:rPr>
          <w:rFonts w:ascii="Arial" w:hAnsi="Arial" w:cs="Arial"/>
          <w:b/>
          <w:bCs/>
          <w:i/>
          <w:iCs/>
          <w:szCs w:val="20"/>
          <w:lang w:val="pl-PL"/>
        </w:rPr>
      </w:pPr>
      <w:r w:rsidRPr="00C21BD1">
        <w:rPr>
          <w:rFonts w:ascii="Arial" w:hAnsi="Arial" w:cs="Arial"/>
          <w:b/>
          <w:bCs/>
          <w:i/>
          <w:iCs/>
          <w:szCs w:val="20"/>
          <w:lang w:val="pl-PL"/>
        </w:rPr>
        <w:t>O Ford Motor Company</w:t>
      </w:r>
    </w:p>
    <w:p w14:paraId="346BB0CE" w14:textId="77777777" w:rsidR="006E3119" w:rsidRPr="00C21BD1" w:rsidRDefault="006E3119" w:rsidP="006E3119">
      <w:pPr>
        <w:rPr>
          <w:rFonts w:ascii="Arial" w:hAnsi="Arial" w:cs="Arial"/>
          <w:i/>
          <w:iCs/>
          <w:szCs w:val="20"/>
          <w:lang w:val="pl-PL"/>
        </w:rPr>
      </w:pPr>
      <w:r w:rsidRPr="00C21BD1">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C21BD1" w:rsidRDefault="006E3119" w:rsidP="006E3119">
      <w:pPr>
        <w:rPr>
          <w:rFonts w:ascii="Arial" w:hAnsi="Arial" w:cs="Arial"/>
          <w:i/>
          <w:iCs/>
          <w:szCs w:val="20"/>
          <w:lang w:val="pl-PL"/>
        </w:rPr>
      </w:pPr>
    </w:p>
    <w:p w14:paraId="6ED33DAB" w14:textId="77777777" w:rsidR="006E3119" w:rsidRPr="00C21BD1" w:rsidRDefault="006E3119" w:rsidP="006E3119">
      <w:pPr>
        <w:rPr>
          <w:rFonts w:ascii="Arial" w:hAnsi="Arial" w:cs="Arial"/>
          <w:i/>
          <w:iCs/>
          <w:color w:val="000000"/>
          <w:sz w:val="22"/>
          <w:szCs w:val="22"/>
          <w:lang w:val="pl-PL"/>
        </w:rPr>
      </w:pPr>
      <w:r w:rsidRPr="00C21BD1">
        <w:rPr>
          <w:rFonts w:ascii="Arial" w:hAnsi="Arial" w:cs="Arial"/>
          <w:b/>
          <w:bCs/>
          <w:i/>
          <w:iCs/>
          <w:color w:val="000000"/>
          <w:lang w:val="pl-PL"/>
        </w:rPr>
        <w:t>Ford of Europe</w:t>
      </w:r>
      <w:r w:rsidRPr="00C21BD1">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C21BD1"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C21BD1" w14:paraId="5D9B34B1" w14:textId="77777777" w:rsidTr="009959AA">
        <w:tc>
          <w:tcPr>
            <w:tcW w:w="1373" w:type="dxa"/>
            <w:shd w:val="clear" w:color="auto" w:fill="auto"/>
          </w:tcPr>
          <w:p w14:paraId="2A449AD6" w14:textId="77777777" w:rsidR="006E3119" w:rsidRPr="00C21BD1" w:rsidRDefault="006E3119" w:rsidP="009959AA">
            <w:pPr>
              <w:widowControl w:val="0"/>
              <w:rPr>
                <w:rFonts w:ascii="Arial" w:hAnsi="Arial" w:cs="Arial"/>
                <w:b/>
                <w:szCs w:val="20"/>
                <w:lang w:val="pl-PL"/>
              </w:rPr>
            </w:pPr>
            <w:r w:rsidRPr="00C21BD1">
              <w:rPr>
                <w:rFonts w:ascii="Arial" w:hAnsi="Arial" w:cs="Arial"/>
                <w:b/>
                <w:szCs w:val="20"/>
                <w:lang w:val="pl-PL"/>
              </w:rPr>
              <w:lastRenderedPageBreak/>
              <w:t>Kontakt:</w:t>
            </w:r>
          </w:p>
        </w:tc>
        <w:tc>
          <w:tcPr>
            <w:tcW w:w="7986" w:type="dxa"/>
            <w:shd w:val="clear" w:color="auto" w:fill="auto"/>
          </w:tcPr>
          <w:p w14:paraId="24F4C7A1" w14:textId="77777777" w:rsidR="006E3119" w:rsidRPr="00C21BD1" w:rsidRDefault="006E3119" w:rsidP="009959AA">
            <w:pPr>
              <w:widowControl w:val="0"/>
              <w:rPr>
                <w:rFonts w:ascii="Arial" w:hAnsi="Arial" w:cs="Arial"/>
                <w:szCs w:val="20"/>
                <w:lang w:val="pl-PL"/>
              </w:rPr>
            </w:pPr>
            <w:r w:rsidRPr="00C21BD1">
              <w:rPr>
                <w:rFonts w:ascii="Arial" w:hAnsi="Arial" w:cs="Arial"/>
                <w:szCs w:val="20"/>
                <w:lang w:val="pl-PL"/>
              </w:rPr>
              <w:t>Mariusz Jasiński</w:t>
            </w:r>
          </w:p>
        </w:tc>
      </w:tr>
      <w:tr w:rsidR="006E3119" w:rsidRPr="009957F9" w14:paraId="306DA93A" w14:textId="77777777" w:rsidTr="009959AA">
        <w:tc>
          <w:tcPr>
            <w:tcW w:w="1373" w:type="dxa"/>
            <w:shd w:val="clear" w:color="auto" w:fill="auto"/>
          </w:tcPr>
          <w:p w14:paraId="264155E6" w14:textId="77777777" w:rsidR="006E3119" w:rsidRPr="00C21BD1"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C21BD1" w:rsidRDefault="006E3119" w:rsidP="009959AA">
            <w:pPr>
              <w:widowControl w:val="0"/>
              <w:rPr>
                <w:rFonts w:ascii="Arial" w:hAnsi="Arial" w:cs="Arial"/>
                <w:szCs w:val="20"/>
                <w:lang w:val="pl-PL"/>
              </w:rPr>
            </w:pPr>
            <w:r w:rsidRPr="00C21BD1">
              <w:rPr>
                <w:rFonts w:ascii="Arial" w:hAnsi="Arial" w:cs="Arial"/>
                <w:sz w:val="22"/>
                <w:szCs w:val="22"/>
                <w:lang w:val="pl-PL" w:eastAsia="ar-SA" w:bidi="hi-IN"/>
              </w:rPr>
              <w:t xml:space="preserve">Ford Polska Sp. z o.o.  </w:t>
            </w:r>
          </w:p>
        </w:tc>
      </w:tr>
      <w:tr w:rsidR="006E3119" w:rsidRPr="00C21BD1" w14:paraId="30F66B29" w14:textId="77777777" w:rsidTr="009959AA">
        <w:tc>
          <w:tcPr>
            <w:tcW w:w="1373" w:type="dxa"/>
            <w:shd w:val="clear" w:color="auto" w:fill="auto"/>
          </w:tcPr>
          <w:p w14:paraId="7A01F05B" w14:textId="77777777" w:rsidR="006E3119" w:rsidRPr="00C21BD1"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C21BD1" w:rsidRDefault="006E3119" w:rsidP="009959AA">
            <w:pPr>
              <w:widowControl w:val="0"/>
              <w:rPr>
                <w:rFonts w:ascii="Arial" w:hAnsi="Arial" w:cs="Arial"/>
                <w:sz w:val="22"/>
                <w:szCs w:val="22"/>
                <w:lang w:val="pl-PL" w:eastAsia="ar-SA" w:bidi="hi-IN"/>
              </w:rPr>
            </w:pPr>
            <w:r w:rsidRPr="00C21BD1">
              <w:rPr>
                <w:rFonts w:ascii="Arial" w:hAnsi="Arial" w:cs="Arial"/>
                <w:sz w:val="22"/>
                <w:szCs w:val="22"/>
                <w:lang w:val="pl-PL" w:eastAsia="ar-SA" w:bidi="hi-IN"/>
              </w:rPr>
              <w:t xml:space="preserve">(22) 6086815   </w:t>
            </w:r>
          </w:p>
        </w:tc>
      </w:tr>
      <w:tr w:rsidR="006E3119" w:rsidRPr="00C21BD1" w14:paraId="2919BD3A" w14:textId="77777777" w:rsidTr="009959AA">
        <w:tc>
          <w:tcPr>
            <w:tcW w:w="1373" w:type="dxa"/>
            <w:shd w:val="clear" w:color="auto" w:fill="auto"/>
          </w:tcPr>
          <w:p w14:paraId="7879D45D" w14:textId="77777777" w:rsidR="006E3119" w:rsidRPr="00C21BD1"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C21BD1" w:rsidRDefault="006E3119" w:rsidP="009959AA">
            <w:pPr>
              <w:rPr>
                <w:lang w:val="pl-PL"/>
              </w:rPr>
            </w:pPr>
            <w:r w:rsidRPr="00C21BD1">
              <w:rPr>
                <w:rFonts w:ascii="Arial" w:hAnsi="Arial" w:cs="Arial"/>
                <w:sz w:val="22"/>
                <w:szCs w:val="22"/>
                <w:u w:val="single"/>
                <w:lang w:val="pl-PL" w:eastAsia="ar-SA"/>
              </w:rPr>
              <w:t>mjasinsk@ford.com</w:t>
            </w:r>
          </w:p>
        </w:tc>
      </w:tr>
      <w:bookmarkEnd w:id="0"/>
      <w:bookmarkEnd w:id="1"/>
    </w:tbl>
    <w:p w14:paraId="798B064D" w14:textId="77777777" w:rsidR="00F165F2" w:rsidRPr="00C21BD1" w:rsidRDefault="00F165F2" w:rsidP="007F7650">
      <w:pPr>
        <w:rPr>
          <w:rFonts w:ascii="Arial" w:hAnsi="Arial" w:cs="Arial"/>
          <w:i/>
          <w:color w:val="000000" w:themeColor="text1"/>
          <w:sz w:val="22"/>
          <w:szCs w:val="22"/>
          <w:lang w:val="pl-PL"/>
        </w:rPr>
      </w:pPr>
    </w:p>
    <w:sectPr w:rsidR="00F165F2" w:rsidRPr="00C21BD1">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17D5" w14:textId="77777777" w:rsidR="007403FF" w:rsidRDefault="007403FF">
      <w:r>
        <w:separator/>
      </w:r>
    </w:p>
  </w:endnote>
  <w:endnote w:type="continuationSeparator" w:id="0">
    <w:p w14:paraId="440F110B" w14:textId="77777777" w:rsidR="007403FF" w:rsidRDefault="0074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57F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7403FF">
      <w:fldChar w:fldCharType="begin"/>
    </w:r>
    <w:r w:rsidR="007403FF" w:rsidRPr="009957F9">
      <w:rPr>
        <w:lang w:val="pl-PL"/>
      </w:rPr>
      <w:instrText xml:space="preserve"> HYPERLINK "http://www.fordmedia.eu/" \h </w:instrText>
    </w:r>
    <w:r w:rsidR="007403FF">
      <w:fldChar w:fldCharType="separate"/>
    </w:r>
    <w:r>
      <w:rPr>
        <w:rStyle w:val="czeinternetowe"/>
        <w:rFonts w:ascii="Arial" w:eastAsia="Calibri" w:hAnsi="Arial" w:cs="Arial"/>
        <w:sz w:val="18"/>
        <w:szCs w:val="18"/>
        <w:lang w:val="pl-PL"/>
      </w:rPr>
      <w:t>www.fordmedia.eu</w:t>
    </w:r>
    <w:r w:rsidR="007403F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28C4" w14:textId="77777777" w:rsidR="007403FF" w:rsidRDefault="007403FF">
      <w:r>
        <w:separator/>
      </w:r>
    </w:p>
  </w:footnote>
  <w:footnote w:type="continuationSeparator" w:id="0">
    <w:p w14:paraId="5314B2DC" w14:textId="77777777" w:rsidR="007403FF" w:rsidRDefault="0074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440B2"/>
    <w:multiLevelType w:val="hybridMultilevel"/>
    <w:tmpl w:val="575C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CE55FC"/>
    <w:multiLevelType w:val="hybridMultilevel"/>
    <w:tmpl w:val="FD32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D970D7"/>
    <w:multiLevelType w:val="hybridMultilevel"/>
    <w:tmpl w:val="57FCC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5"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8830651"/>
    <w:multiLevelType w:val="hybridMultilevel"/>
    <w:tmpl w:val="DFA20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F37509E"/>
    <w:multiLevelType w:val="multilevel"/>
    <w:tmpl w:val="EAD8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10"/>
  </w:num>
  <w:num w:numId="3">
    <w:abstractNumId w:val="19"/>
  </w:num>
  <w:num w:numId="4">
    <w:abstractNumId w:val="25"/>
  </w:num>
  <w:num w:numId="5">
    <w:abstractNumId w:val="28"/>
  </w:num>
  <w:num w:numId="6">
    <w:abstractNumId w:val="13"/>
  </w:num>
  <w:num w:numId="7">
    <w:abstractNumId w:val="20"/>
  </w:num>
  <w:num w:numId="8">
    <w:abstractNumId w:val="18"/>
  </w:num>
  <w:num w:numId="9">
    <w:abstractNumId w:val="3"/>
  </w:num>
  <w:num w:numId="10">
    <w:abstractNumId w:val="4"/>
  </w:num>
  <w:num w:numId="11">
    <w:abstractNumId w:val="6"/>
  </w:num>
  <w:num w:numId="12">
    <w:abstractNumId w:val="7"/>
  </w:num>
  <w:num w:numId="13">
    <w:abstractNumId w:val="23"/>
  </w:num>
  <w:num w:numId="14">
    <w:abstractNumId w:val="8"/>
  </w:num>
  <w:num w:numId="15">
    <w:abstractNumId w:val="24"/>
  </w:num>
  <w:num w:numId="16">
    <w:abstractNumId w:val="11"/>
  </w:num>
  <w:num w:numId="17">
    <w:abstractNumId w:val="27"/>
  </w:num>
  <w:num w:numId="18">
    <w:abstractNumId w:val="30"/>
  </w:num>
  <w:num w:numId="19">
    <w:abstractNumId w:val="0"/>
  </w:num>
  <w:num w:numId="20">
    <w:abstractNumId w:val="32"/>
  </w:num>
  <w:num w:numId="21">
    <w:abstractNumId w:val="17"/>
  </w:num>
  <w:num w:numId="22">
    <w:abstractNumId w:val="12"/>
  </w:num>
  <w:num w:numId="23">
    <w:abstractNumId w:val="26"/>
  </w:num>
  <w:num w:numId="24">
    <w:abstractNumId w:val="31"/>
  </w:num>
  <w:num w:numId="25">
    <w:abstractNumId w:val="14"/>
  </w:num>
  <w:num w:numId="26">
    <w:abstractNumId w:val="16"/>
  </w:num>
  <w:num w:numId="27">
    <w:abstractNumId w:val="15"/>
  </w:num>
  <w:num w:numId="28">
    <w:abstractNumId w:val="22"/>
  </w:num>
  <w:num w:numId="29">
    <w:abstractNumId w:val="1"/>
  </w:num>
  <w:num w:numId="30">
    <w:abstractNumId w:val="5"/>
  </w:num>
  <w:num w:numId="31">
    <w:abstractNumId w:val="21"/>
  </w:num>
  <w:num w:numId="32">
    <w:abstractNumId w:val="29"/>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E7"/>
    <w:rsid w:val="000760A3"/>
    <w:rsid w:val="00080C81"/>
    <w:rsid w:val="00081C8F"/>
    <w:rsid w:val="0008239F"/>
    <w:rsid w:val="00090E7A"/>
    <w:rsid w:val="00094247"/>
    <w:rsid w:val="000978E4"/>
    <w:rsid w:val="000A302A"/>
    <w:rsid w:val="000B1463"/>
    <w:rsid w:val="000B1616"/>
    <w:rsid w:val="000B3F84"/>
    <w:rsid w:val="000B41CB"/>
    <w:rsid w:val="000C451A"/>
    <w:rsid w:val="000C5A39"/>
    <w:rsid w:val="000C5B0E"/>
    <w:rsid w:val="000C7B6D"/>
    <w:rsid w:val="000D0536"/>
    <w:rsid w:val="000D1FDB"/>
    <w:rsid w:val="000E5D25"/>
    <w:rsid w:val="000F28A0"/>
    <w:rsid w:val="000F5187"/>
    <w:rsid w:val="00104CD7"/>
    <w:rsid w:val="00106BA5"/>
    <w:rsid w:val="0010756F"/>
    <w:rsid w:val="00111E3B"/>
    <w:rsid w:val="00116CCC"/>
    <w:rsid w:val="00117161"/>
    <w:rsid w:val="00122824"/>
    <w:rsid w:val="00123DA9"/>
    <w:rsid w:val="0013097E"/>
    <w:rsid w:val="0013131F"/>
    <w:rsid w:val="001420EA"/>
    <w:rsid w:val="00147CCB"/>
    <w:rsid w:val="00153A6D"/>
    <w:rsid w:val="0016467A"/>
    <w:rsid w:val="00167CC2"/>
    <w:rsid w:val="00172F7B"/>
    <w:rsid w:val="00193F53"/>
    <w:rsid w:val="00196D90"/>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3C51"/>
    <w:rsid w:val="002160FA"/>
    <w:rsid w:val="00216FB8"/>
    <w:rsid w:val="00220308"/>
    <w:rsid w:val="002212EC"/>
    <w:rsid w:val="00222537"/>
    <w:rsid w:val="0022668E"/>
    <w:rsid w:val="00233365"/>
    <w:rsid w:val="00235A84"/>
    <w:rsid w:val="00236E2D"/>
    <w:rsid w:val="0023723C"/>
    <w:rsid w:val="00243B0D"/>
    <w:rsid w:val="00243F8B"/>
    <w:rsid w:val="002466BC"/>
    <w:rsid w:val="002531D9"/>
    <w:rsid w:val="002612E8"/>
    <w:rsid w:val="00267340"/>
    <w:rsid w:val="00273A8B"/>
    <w:rsid w:val="00274226"/>
    <w:rsid w:val="002805B1"/>
    <w:rsid w:val="0028164E"/>
    <w:rsid w:val="002823D9"/>
    <w:rsid w:val="00291048"/>
    <w:rsid w:val="0029464F"/>
    <w:rsid w:val="002A4C35"/>
    <w:rsid w:val="002A4EFF"/>
    <w:rsid w:val="002B24FE"/>
    <w:rsid w:val="002B43D2"/>
    <w:rsid w:val="002B4EE0"/>
    <w:rsid w:val="002C561F"/>
    <w:rsid w:val="002E2656"/>
    <w:rsid w:val="002F5335"/>
    <w:rsid w:val="003064BB"/>
    <w:rsid w:val="003076E2"/>
    <w:rsid w:val="0030794E"/>
    <w:rsid w:val="0033092B"/>
    <w:rsid w:val="00334066"/>
    <w:rsid w:val="00337AF1"/>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D5A75"/>
    <w:rsid w:val="003F098A"/>
    <w:rsid w:val="003F30D8"/>
    <w:rsid w:val="003F4449"/>
    <w:rsid w:val="004012C6"/>
    <w:rsid w:val="0040494D"/>
    <w:rsid w:val="00405B47"/>
    <w:rsid w:val="00406ABB"/>
    <w:rsid w:val="00414E78"/>
    <w:rsid w:val="00420BB7"/>
    <w:rsid w:val="0042506A"/>
    <w:rsid w:val="00430FEF"/>
    <w:rsid w:val="00444FC9"/>
    <w:rsid w:val="0044530B"/>
    <w:rsid w:val="0045114B"/>
    <w:rsid w:val="0046178E"/>
    <w:rsid w:val="004660CF"/>
    <w:rsid w:val="004823A6"/>
    <w:rsid w:val="00485BFB"/>
    <w:rsid w:val="00486263"/>
    <w:rsid w:val="004863C8"/>
    <w:rsid w:val="00491804"/>
    <w:rsid w:val="004A62C9"/>
    <w:rsid w:val="004B1B2F"/>
    <w:rsid w:val="004B3CBE"/>
    <w:rsid w:val="004B43B8"/>
    <w:rsid w:val="004B796A"/>
    <w:rsid w:val="004C42D7"/>
    <w:rsid w:val="004D0476"/>
    <w:rsid w:val="004D3709"/>
    <w:rsid w:val="004D477B"/>
    <w:rsid w:val="004E3236"/>
    <w:rsid w:val="004E366F"/>
    <w:rsid w:val="004E6D58"/>
    <w:rsid w:val="00501CC4"/>
    <w:rsid w:val="00501EAF"/>
    <w:rsid w:val="005129BD"/>
    <w:rsid w:val="00515276"/>
    <w:rsid w:val="00522DAE"/>
    <w:rsid w:val="005238FF"/>
    <w:rsid w:val="0052769E"/>
    <w:rsid w:val="005305A3"/>
    <w:rsid w:val="00544BB4"/>
    <w:rsid w:val="005456F4"/>
    <w:rsid w:val="00555CD4"/>
    <w:rsid w:val="005646ED"/>
    <w:rsid w:val="00564C82"/>
    <w:rsid w:val="0056598E"/>
    <w:rsid w:val="005730E2"/>
    <w:rsid w:val="00577947"/>
    <w:rsid w:val="005802B6"/>
    <w:rsid w:val="00580F88"/>
    <w:rsid w:val="005867C0"/>
    <w:rsid w:val="005968FF"/>
    <w:rsid w:val="005A302A"/>
    <w:rsid w:val="005A3CDA"/>
    <w:rsid w:val="005B6B84"/>
    <w:rsid w:val="005C0F90"/>
    <w:rsid w:val="005C1845"/>
    <w:rsid w:val="005D25C5"/>
    <w:rsid w:val="005D63BF"/>
    <w:rsid w:val="005D70B0"/>
    <w:rsid w:val="005E24D0"/>
    <w:rsid w:val="005E2703"/>
    <w:rsid w:val="005F475A"/>
    <w:rsid w:val="005F4988"/>
    <w:rsid w:val="005F72B2"/>
    <w:rsid w:val="006036A3"/>
    <w:rsid w:val="006076F2"/>
    <w:rsid w:val="00610994"/>
    <w:rsid w:val="00611C4C"/>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083B"/>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3FA0"/>
    <w:rsid w:val="00737ADC"/>
    <w:rsid w:val="0074017F"/>
    <w:rsid w:val="007403FF"/>
    <w:rsid w:val="007536C1"/>
    <w:rsid w:val="007642C3"/>
    <w:rsid w:val="00777BDD"/>
    <w:rsid w:val="0078699F"/>
    <w:rsid w:val="0078714F"/>
    <w:rsid w:val="00787714"/>
    <w:rsid w:val="00790E63"/>
    <w:rsid w:val="007920EC"/>
    <w:rsid w:val="007A008F"/>
    <w:rsid w:val="007A14D4"/>
    <w:rsid w:val="007A3385"/>
    <w:rsid w:val="007A402C"/>
    <w:rsid w:val="007A63C2"/>
    <w:rsid w:val="007B24EA"/>
    <w:rsid w:val="007C2600"/>
    <w:rsid w:val="007C7518"/>
    <w:rsid w:val="007D0A11"/>
    <w:rsid w:val="007D3C05"/>
    <w:rsid w:val="007D5416"/>
    <w:rsid w:val="007D6B52"/>
    <w:rsid w:val="007E6E43"/>
    <w:rsid w:val="007E7123"/>
    <w:rsid w:val="007F0BD4"/>
    <w:rsid w:val="007F7650"/>
    <w:rsid w:val="00801723"/>
    <w:rsid w:val="00802294"/>
    <w:rsid w:val="00802725"/>
    <w:rsid w:val="008101F2"/>
    <w:rsid w:val="00812858"/>
    <w:rsid w:val="00817A4E"/>
    <w:rsid w:val="00817CC8"/>
    <w:rsid w:val="00822CDF"/>
    <w:rsid w:val="008233C4"/>
    <w:rsid w:val="008442F5"/>
    <w:rsid w:val="0085510F"/>
    <w:rsid w:val="00855FD4"/>
    <w:rsid w:val="008643FC"/>
    <w:rsid w:val="00870ADC"/>
    <w:rsid w:val="008842C4"/>
    <w:rsid w:val="00890385"/>
    <w:rsid w:val="00892C62"/>
    <w:rsid w:val="008A13D2"/>
    <w:rsid w:val="008A1BF0"/>
    <w:rsid w:val="008A5664"/>
    <w:rsid w:val="008A5AD6"/>
    <w:rsid w:val="008A5DA9"/>
    <w:rsid w:val="008B0E48"/>
    <w:rsid w:val="008B594A"/>
    <w:rsid w:val="008B5CB6"/>
    <w:rsid w:val="008C511B"/>
    <w:rsid w:val="008C68DB"/>
    <w:rsid w:val="008D0176"/>
    <w:rsid w:val="008D61DA"/>
    <w:rsid w:val="008E0F86"/>
    <w:rsid w:val="008F2C84"/>
    <w:rsid w:val="008F54E0"/>
    <w:rsid w:val="00902C1C"/>
    <w:rsid w:val="00903384"/>
    <w:rsid w:val="009146B5"/>
    <w:rsid w:val="00915841"/>
    <w:rsid w:val="009164BB"/>
    <w:rsid w:val="00920B64"/>
    <w:rsid w:val="009248FB"/>
    <w:rsid w:val="0094549D"/>
    <w:rsid w:val="00946702"/>
    <w:rsid w:val="009547D1"/>
    <w:rsid w:val="009559A8"/>
    <w:rsid w:val="00955A88"/>
    <w:rsid w:val="0097339D"/>
    <w:rsid w:val="00976830"/>
    <w:rsid w:val="00977541"/>
    <w:rsid w:val="009847E8"/>
    <w:rsid w:val="00984FE5"/>
    <w:rsid w:val="009957A7"/>
    <w:rsid w:val="009957F9"/>
    <w:rsid w:val="009A35E0"/>
    <w:rsid w:val="009A3CDE"/>
    <w:rsid w:val="009A52C5"/>
    <w:rsid w:val="009C16F3"/>
    <w:rsid w:val="009C4416"/>
    <w:rsid w:val="009D0909"/>
    <w:rsid w:val="009D1A86"/>
    <w:rsid w:val="009D1E0A"/>
    <w:rsid w:val="009E3919"/>
    <w:rsid w:val="009E6275"/>
    <w:rsid w:val="009F319E"/>
    <w:rsid w:val="00A01B10"/>
    <w:rsid w:val="00A04785"/>
    <w:rsid w:val="00A05FCA"/>
    <w:rsid w:val="00A060E1"/>
    <w:rsid w:val="00A13797"/>
    <w:rsid w:val="00A140DD"/>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92E41"/>
    <w:rsid w:val="00A9318E"/>
    <w:rsid w:val="00A942DA"/>
    <w:rsid w:val="00AA23CE"/>
    <w:rsid w:val="00AA405F"/>
    <w:rsid w:val="00AB1E67"/>
    <w:rsid w:val="00AB24D2"/>
    <w:rsid w:val="00AB620D"/>
    <w:rsid w:val="00AC509B"/>
    <w:rsid w:val="00AD54FF"/>
    <w:rsid w:val="00AD5814"/>
    <w:rsid w:val="00AF1F15"/>
    <w:rsid w:val="00AF67EE"/>
    <w:rsid w:val="00B01153"/>
    <w:rsid w:val="00B01F0A"/>
    <w:rsid w:val="00B022C3"/>
    <w:rsid w:val="00B120C8"/>
    <w:rsid w:val="00B1724D"/>
    <w:rsid w:val="00B25166"/>
    <w:rsid w:val="00B2744E"/>
    <w:rsid w:val="00B43F15"/>
    <w:rsid w:val="00B45F5A"/>
    <w:rsid w:val="00B47DA4"/>
    <w:rsid w:val="00B50FEE"/>
    <w:rsid w:val="00B605E9"/>
    <w:rsid w:val="00B623DB"/>
    <w:rsid w:val="00B63613"/>
    <w:rsid w:val="00B67E49"/>
    <w:rsid w:val="00B70797"/>
    <w:rsid w:val="00B71190"/>
    <w:rsid w:val="00B716CC"/>
    <w:rsid w:val="00B71810"/>
    <w:rsid w:val="00B73082"/>
    <w:rsid w:val="00B80111"/>
    <w:rsid w:val="00B83E04"/>
    <w:rsid w:val="00B8641B"/>
    <w:rsid w:val="00B920F4"/>
    <w:rsid w:val="00B924C6"/>
    <w:rsid w:val="00B936BD"/>
    <w:rsid w:val="00BA4551"/>
    <w:rsid w:val="00BA7839"/>
    <w:rsid w:val="00BB61F8"/>
    <w:rsid w:val="00BC3E1A"/>
    <w:rsid w:val="00BD3B51"/>
    <w:rsid w:val="00BE17C7"/>
    <w:rsid w:val="00BE22B5"/>
    <w:rsid w:val="00BE5D19"/>
    <w:rsid w:val="00BE6C19"/>
    <w:rsid w:val="00BE77CD"/>
    <w:rsid w:val="00BE78D5"/>
    <w:rsid w:val="00BE7C5B"/>
    <w:rsid w:val="00BE7F5D"/>
    <w:rsid w:val="00BF20E8"/>
    <w:rsid w:val="00BF47AE"/>
    <w:rsid w:val="00BF4D58"/>
    <w:rsid w:val="00BF7D7C"/>
    <w:rsid w:val="00C07F4B"/>
    <w:rsid w:val="00C153FB"/>
    <w:rsid w:val="00C179FC"/>
    <w:rsid w:val="00C21BD1"/>
    <w:rsid w:val="00C2293F"/>
    <w:rsid w:val="00C25C2E"/>
    <w:rsid w:val="00C26CEE"/>
    <w:rsid w:val="00C32E33"/>
    <w:rsid w:val="00C33579"/>
    <w:rsid w:val="00C33FB9"/>
    <w:rsid w:val="00C42E20"/>
    <w:rsid w:val="00C44532"/>
    <w:rsid w:val="00C514E2"/>
    <w:rsid w:val="00C559C3"/>
    <w:rsid w:val="00C60AB0"/>
    <w:rsid w:val="00C82DBA"/>
    <w:rsid w:val="00C849DA"/>
    <w:rsid w:val="00C95A33"/>
    <w:rsid w:val="00C95CE1"/>
    <w:rsid w:val="00C97B1F"/>
    <w:rsid w:val="00CA1F45"/>
    <w:rsid w:val="00CB3FF7"/>
    <w:rsid w:val="00CC04E8"/>
    <w:rsid w:val="00CC1618"/>
    <w:rsid w:val="00CC22E2"/>
    <w:rsid w:val="00CC32D3"/>
    <w:rsid w:val="00CC596B"/>
    <w:rsid w:val="00CC7C00"/>
    <w:rsid w:val="00CD1523"/>
    <w:rsid w:val="00CD2038"/>
    <w:rsid w:val="00CD3711"/>
    <w:rsid w:val="00CE4EA8"/>
    <w:rsid w:val="00CF0A86"/>
    <w:rsid w:val="00CF20FC"/>
    <w:rsid w:val="00CF2A5E"/>
    <w:rsid w:val="00CF2BA3"/>
    <w:rsid w:val="00D14416"/>
    <w:rsid w:val="00D239F5"/>
    <w:rsid w:val="00D3413B"/>
    <w:rsid w:val="00D368C2"/>
    <w:rsid w:val="00D4680B"/>
    <w:rsid w:val="00D53480"/>
    <w:rsid w:val="00D55C86"/>
    <w:rsid w:val="00D55D05"/>
    <w:rsid w:val="00D625E7"/>
    <w:rsid w:val="00D643D7"/>
    <w:rsid w:val="00D751BF"/>
    <w:rsid w:val="00D7599D"/>
    <w:rsid w:val="00D76949"/>
    <w:rsid w:val="00D76AC8"/>
    <w:rsid w:val="00D77FAD"/>
    <w:rsid w:val="00D86A99"/>
    <w:rsid w:val="00D86FC0"/>
    <w:rsid w:val="00D91FDB"/>
    <w:rsid w:val="00DA2533"/>
    <w:rsid w:val="00DA3641"/>
    <w:rsid w:val="00DB3D07"/>
    <w:rsid w:val="00DB46E8"/>
    <w:rsid w:val="00DC431D"/>
    <w:rsid w:val="00DC62D2"/>
    <w:rsid w:val="00DC6C9D"/>
    <w:rsid w:val="00DD1676"/>
    <w:rsid w:val="00DD366D"/>
    <w:rsid w:val="00DD3BA0"/>
    <w:rsid w:val="00E015B2"/>
    <w:rsid w:val="00E06CF7"/>
    <w:rsid w:val="00E11811"/>
    <w:rsid w:val="00E149D9"/>
    <w:rsid w:val="00E2012B"/>
    <w:rsid w:val="00E20D58"/>
    <w:rsid w:val="00E317E2"/>
    <w:rsid w:val="00E37655"/>
    <w:rsid w:val="00E42D5B"/>
    <w:rsid w:val="00E5078A"/>
    <w:rsid w:val="00E569BF"/>
    <w:rsid w:val="00E7495F"/>
    <w:rsid w:val="00E8182E"/>
    <w:rsid w:val="00E839D6"/>
    <w:rsid w:val="00E84632"/>
    <w:rsid w:val="00E9101A"/>
    <w:rsid w:val="00EA2106"/>
    <w:rsid w:val="00EA66E8"/>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1ACB"/>
    <w:rsid w:val="00F15E12"/>
    <w:rsid w:val="00F165F2"/>
    <w:rsid w:val="00F17586"/>
    <w:rsid w:val="00F36798"/>
    <w:rsid w:val="00F4226E"/>
    <w:rsid w:val="00F45F0A"/>
    <w:rsid w:val="00F45F2D"/>
    <w:rsid w:val="00F47EB3"/>
    <w:rsid w:val="00F57E03"/>
    <w:rsid w:val="00F61E0C"/>
    <w:rsid w:val="00F76726"/>
    <w:rsid w:val="00F814A5"/>
    <w:rsid w:val="00F82990"/>
    <w:rsid w:val="00F8317C"/>
    <w:rsid w:val="00F865C0"/>
    <w:rsid w:val="00F926BA"/>
    <w:rsid w:val="00F9678B"/>
    <w:rsid w:val="00FA53AD"/>
    <w:rsid w:val="00FB0932"/>
    <w:rsid w:val="00FB2F7A"/>
    <w:rsid w:val="00FC7BC8"/>
    <w:rsid w:val="00FD0010"/>
    <w:rsid w:val="00FD0750"/>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01140213">
      <w:bodyDiv w:val="1"/>
      <w:marLeft w:val="0"/>
      <w:marRight w:val="0"/>
      <w:marTop w:val="0"/>
      <w:marBottom w:val="0"/>
      <w:divBdr>
        <w:top w:val="none" w:sz="0" w:space="0" w:color="auto"/>
        <w:left w:val="none" w:sz="0" w:space="0" w:color="auto"/>
        <w:bottom w:val="none" w:sz="0" w:space="0" w:color="auto"/>
        <w:right w:val="none" w:sz="0" w:space="0" w:color="auto"/>
      </w:divBdr>
    </w:div>
    <w:div w:id="1633637984">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com/police-vehicles/s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1358</Words>
  <Characters>8150</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9</cp:revision>
  <cp:lastPrinted>2021-02-12T09:18:00Z</cp:lastPrinted>
  <dcterms:created xsi:type="dcterms:W3CDTF">2022-08-03T13:54:00Z</dcterms:created>
  <dcterms:modified xsi:type="dcterms:W3CDTF">2022-08-05T07:00:00Z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